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3E" w:rsidRDefault="006C109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The April 2013 Research Terms and Conditions for the United States Department of Agriculture (USDA) National Institute of Food and Agriculture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NIFA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 added a new responsible conduct of research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RCR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 training requirement to specific awards.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6C109C" w:rsidRDefault="006C109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>Responsible and Ethical Conduct of Research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 responsible and ethical conduct of research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RCR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is critical for excellence, as well as public trust, in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science and engineering. Consequently, we consider education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RCR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essential to the preparation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future scientists. In accordance with sections 2, 3, and 8 of 7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CFR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Part 3022, institutions that conduct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USDA-funded extramural research must foster an atmosphere conducive to research integrity, bear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primary responsibility for prevention and detection of research misconduct, and maintain and effectively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communicate and train their staff regarding policies and procedures. In the event an application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NIFA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results in an award, the Authorized Representative (AR) assures, through acceptance of the award that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 institution will comply with the above requirements. Per award terms and conditions, grant recipients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shall, upon request, make available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NIFA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the policies, </w:t>
      </w:r>
      <w:r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>rocedures, and to support the conduct of 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training.</w:t>
      </w:r>
      <w:r>
        <w:rPr>
          <w:rFonts w:ascii="Arial" w:hAnsi="Arial" w:cs="Arial"/>
          <w:color w:val="222222"/>
        </w:rPr>
        <w:br/>
      </w:r>
    </w:p>
    <w:p w:rsidR="006C109C" w:rsidRDefault="006C109C">
      <w:r>
        <w:rPr>
          <w:rFonts w:ascii="Arial" w:hAnsi="Arial" w:cs="Arial"/>
          <w:color w:val="222222"/>
          <w:shd w:val="clear" w:color="auto" w:fill="FFFFFF"/>
        </w:rPr>
        <w:t>Note that the training referred to herein shall be either on-campus or off-campus training. The general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content of the ethics training will, at a minimum, emphasize three key areas of research ethics: authorship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and plagiarism, data and research integration, and reporting misconduct. Each institution will be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responsible for developing its own training system, as schools will need flexibility to develop training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tailored to their specific student needs. Grantees should consider the Collaborative Institutional Training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Initiative (CITI) program for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RCR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www.citiprogram.org/rcrpage.asp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). Typically this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RCR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education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addresses the topics of: Data Acquisition and Management - collection, accuracy, security,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access;Authorship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>ublication; Peer Review; Mentor/Trainee Responsibilities; Collaboration; Conflict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Interest; Research Misconduct; Human Subject Research; and Use of Animals in Research.</w:t>
      </w:r>
      <w:r>
        <w:rPr>
          <w:rFonts w:ascii="Arial" w:hAnsi="Arial" w:cs="Arial"/>
          <w:color w:val="222222"/>
          <w:shd w:val="clear" w:color="auto" w:fill="FFFFFF"/>
        </w:rPr>
        <w:t>”</w:t>
      </w:r>
      <w:bookmarkStart w:id="0" w:name="_GoBack"/>
      <w:bookmarkEnd w:id="0"/>
    </w:p>
    <w:sectPr w:rsidR="006C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C"/>
    <w:rsid w:val="006C109C"/>
    <w:rsid w:val="00EA22E6"/>
    <w:rsid w:val="00E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DE251-17A3-4A5F-84B7-995BAB2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iprogram.org/rcrpag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E. Peelle</dc:creator>
  <cp:keywords/>
  <dc:description/>
  <cp:lastModifiedBy>Jami E. Peelle</cp:lastModifiedBy>
  <cp:revision>1</cp:revision>
  <dcterms:created xsi:type="dcterms:W3CDTF">2014-03-26T19:27:00Z</dcterms:created>
  <dcterms:modified xsi:type="dcterms:W3CDTF">2014-03-26T19:31:00Z</dcterms:modified>
</cp:coreProperties>
</file>