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3E09" w14:textId="7204557B" w:rsidR="00FF763F" w:rsidRPr="0002115D" w:rsidRDefault="00FF763F" w:rsidP="00F02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2115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of the Vice President for Library and Information Services</w:t>
      </w:r>
      <w:r w:rsidRPr="0002115D">
        <w:rPr>
          <w:rFonts w:ascii="Arial" w:eastAsia="Times New Roman" w:hAnsi="Arial" w:cs="Arial"/>
          <w:sz w:val="24"/>
          <w:szCs w:val="24"/>
        </w:rPr>
        <w:br/>
      </w:r>
    </w:p>
    <w:p w14:paraId="41945A8B" w14:textId="6818AD0B" w:rsidR="00F02D50" w:rsidRPr="0002115D" w:rsidRDefault="005C7864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 23rd</w:t>
      </w:r>
      <w:r w:rsidR="008069FF">
        <w:rPr>
          <w:rFonts w:ascii="Arial" w:eastAsia="Times New Roman" w:hAnsi="Arial" w:cs="Arial"/>
          <w:color w:val="000000"/>
          <w:sz w:val="24"/>
          <w:szCs w:val="24"/>
        </w:rPr>
        <w:t>, 2015</w:t>
      </w:r>
    </w:p>
    <w:p w14:paraId="0136A0C3" w14:textId="77777777" w:rsidR="00FF763F" w:rsidRDefault="00FF763F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115D">
        <w:rPr>
          <w:rFonts w:ascii="Arial" w:eastAsia="Times New Roman" w:hAnsi="Arial" w:cs="Arial"/>
          <w:color w:val="000000"/>
          <w:sz w:val="24"/>
          <w:szCs w:val="24"/>
        </w:rPr>
        <w:t>Ronald K. Griggs</w:t>
      </w:r>
    </w:p>
    <w:p w14:paraId="6236729B" w14:textId="77777777" w:rsidR="00442E7F" w:rsidRDefault="00442E7F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6CB6FB" w14:textId="77777777" w:rsidR="008069FF" w:rsidRDefault="008069FF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D78D95" w14:textId="105418D4" w:rsidR="00442E7F" w:rsidRDefault="00645D4F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Below is the report of the Vice President for </w:t>
      </w:r>
      <w:r w:rsidR="005C7864">
        <w:rPr>
          <w:rFonts w:ascii="Arial" w:eastAsia="Times New Roman" w:hAnsi="Arial" w:cs="Arial"/>
          <w:color w:val="000000"/>
          <w:sz w:val="24"/>
          <w:szCs w:val="24"/>
        </w:rPr>
        <w:t>Library and Information Services</w:t>
      </w:r>
      <w:r w:rsidR="008069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F5BD85" w14:textId="77777777" w:rsidR="00645D4F" w:rsidRDefault="00645D4F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1A8458" w14:textId="557B27EB" w:rsidR="00621820" w:rsidRDefault="00536A67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390A26B1" w14:textId="77777777" w:rsidR="00536A67" w:rsidRDefault="00536A67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B7577B" w14:textId="638F419F" w:rsidR="00536A67" w:rsidRDefault="00536A67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Ronald K. Griggs</w:t>
      </w:r>
    </w:p>
    <w:p w14:paraId="44A40637" w14:textId="09D56235" w:rsidR="00536A67" w:rsidRDefault="00536A67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President for Library and Information Services</w:t>
      </w:r>
    </w:p>
    <w:p w14:paraId="4C064F0C" w14:textId="77777777" w:rsidR="005C7864" w:rsidRDefault="005C7864" w:rsidP="00FF76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CED56A" w14:textId="77777777" w:rsidR="005C7864" w:rsidRPr="005C7864" w:rsidRDefault="005C7864" w:rsidP="005C786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7864">
        <w:rPr>
          <w:rFonts w:ascii="Arial" w:hAnsi="Arial" w:cs="Arial"/>
          <w:b/>
          <w:bCs/>
          <w:color w:val="000000"/>
          <w:sz w:val="23"/>
          <w:szCs w:val="23"/>
        </w:rPr>
        <w:t>Report on Student Printing</w:t>
      </w:r>
    </w:p>
    <w:p w14:paraId="708493CF" w14:textId="77777777" w:rsidR="005C7864" w:rsidRPr="005C7864" w:rsidRDefault="005C7864" w:rsidP="005C786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92753CA" w14:textId="77777777" w:rsidR="005C7864" w:rsidRPr="005C7864" w:rsidRDefault="005C7864" w:rsidP="005C786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7864">
        <w:rPr>
          <w:rFonts w:ascii="Arial" w:hAnsi="Arial" w:cs="Arial"/>
          <w:color w:val="000000"/>
          <w:sz w:val="23"/>
          <w:szCs w:val="23"/>
        </w:rPr>
        <w:t xml:space="preserve">The transition to new public printers in the December-January period has been generally popular among students.  Using the </w:t>
      </w:r>
      <w:proofErr w:type="spellStart"/>
      <w:r w:rsidRPr="005C7864">
        <w:rPr>
          <w:rFonts w:ascii="Arial" w:hAnsi="Arial" w:cs="Arial"/>
          <w:color w:val="000000"/>
          <w:sz w:val="23"/>
          <w:szCs w:val="23"/>
        </w:rPr>
        <w:t>PaperCut</w:t>
      </w:r>
      <w:proofErr w:type="spellEnd"/>
      <w:r w:rsidRPr="005C7864">
        <w:rPr>
          <w:rFonts w:ascii="Arial" w:hAnsi="Arial" w:cs="Arial"/>
          <w:color w:val="000000"/>
          <w:sz w:val="23"/>
          <w:szCs w:val="23"/>
        </w:rPr>
        <w:t xml:space="preserve"> software reporting tool, I’ve extracted data for the period January 1st to March 1st to examine the statistical footprint so far.</w:t>
      </w:r>
    </w:p>
    <w:p w14:paraId="64C637AF" w14:textId="77777777" w:rsidR="005C7864" w:rsidRPr="005C7864" w:rsidRDefault="005C7864" w:rsidP="005C786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3532378" w14:textId="77777777" w:rsidR="005C7864" w:rsidRPr="005C7864" w:rsidRDefault="005C7864" w:rsidP="005C786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7864">
        <w:rPr>
          <w:rFonts w:ascii="Arial" w:hAnsi="Arial" w:cs="Arial"/>
          <w:color w:val="000000"/>
          <w:sz w:val="23"/>
          <w:szCs w:val="23"/>
        </w:rPr>
        <w:t>The new public printers do not automatically print; each print job must be released at the printer. For convenience, you can tap your ID to authenticate and press a single button to release all your queued print jobs.  Jobs not printed within two hours are deleted.  The goal of this change was to reduce waste.  Anecdotally, we see a huge difference in the amount of paper in the recycling bins.</w:t>
      </w:r>
    </w:p>
    <w:p w14:paraId="478485D7" w14:textId="77777777" w:rsidR="005C7864" w:rsidRPr="005C7864" w:rsidRDefault="005C7864" w:rsidP="005C786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20F5B60" w14:textId="77777777" w:rsidR="005C7864" w:rsidRPr="005C7864" w:rsidRDefault="005C7864" w:rsidP="005C786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5C7864">
        <w:rPr>
          <w:rFonts w:ascii="Arial" w:hAnsi="Arial" w:cs="Arial"/>
          <w:color w:val="000000"/>
          <w:sz w:val="23"/>
          <w:szCs w:val="23"/>
        </w:rPr>
        <w:t>Here are some basic facts covering the 59 day period:</w:t>
      </w:r>
    </w:p>
    <w:p w14:paraId="62315CA5" w14:textId="77777777" w:rsidR="005C7864" w:rsidRPr="005C7864" w:rsidRDefault="005C7864" w:rsidP="005C786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ABC1FED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626,467 pages were printed: 10,618 per day.  By “pages” I mean print on one side of a piece of paper:  a single piece of paper with print on both sides would be counted as two pages.</w:t>
      </w:r>
    </w:p>
    <w:p w14:paraId="3E2195D9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355,581 pieces of paper were used: 6,027 per day.</w:t>
      </w:r>
    </w:p>
    <w:p w14:paraId="297E7C00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123,720 pages were printed in color, 2,239 per day, which is 21% of the total pages. Thus 79% of pages were printed in grayscale.</w:t>
      </w:r>
    </w:p>
    <w:p w14:paraId="7467E17E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86% of pages were printed duplex, front and back. Counting this is somewhat complicated: if you print a three page document in duplex mode, the system will count it as 2 pages in duplex (i.e. on 1 piece of paper front and back) and 1 page simplex (i.e. 1 piece of paper front only.)  So all jobs printed in duplex with odd numbers of pages will generate one simplex page.</w:t>
      </w:r>
    </w:p>
    <w:p w14:paraId="50428247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 xml:space="preserve">The total cost of this printing was $20,442,96: $346.49 per day. The cost is based on the following expenses:  one color page at 4.9 cents, one grayscale page at 2.29 cents, one piece of paper at 0.745 cents. The cost of paper is surprising to me; in the past, we had been consistently paying about 0.5 cents per page. </w:t>
      </w:r>
    </w:p>
    <w:p w14:paraId="228CC007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96% of all printing on the public printers was done by students.  About 1.5% was done by LBIS staff.  About 2.5% was done by faculty and staff in other departments.</w:t>
      </w:r>
    </w:p>
    <w:p w14:paraId="0CAF850B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1615 different students (and 84 staff and faculty) printed to the public printers.</w:t>
      </w:r>
    </w:p>
    <w:p w14:paraId="448FA8D3" w14:textId="77777777" w:rsidR="005C7864" w:rsidRPr="005C7864" w:rsidRDefault="005C7864" w:rsidP="005C7864">
      <w:pPr>
        <w:numPr>
          <w:ilvl w:val="0"/>
          <w:numId w:val="46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The average student:</w:t>
      </w:r>
    </w:p>
    <w:p w14:paraId="564C7879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372.8 pages</w:t>
      </w:r>
    </w:p>
    <w:p w14:paraId="4EB6A148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76.6 pages in color</w:t>
      </w:r>
    </w:p>
    <w:p w14:paraId="4F563380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lastRenderedPageBreak/>
        <w:t>printed 296.2 pages in grayscale</w:t>
      </w:r>
    </w:p>
    <w:p w14:paraId="3902A85E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for a cost of $12.11</w:t>
      </w:r>
    </w:p>
    <w:p w14:paraId="3601E315" w14:textId="77777777" w:rsidR="005C7864" w:rsidRPr="005C7864" w:rsidRDefault="005C7864" w:rsidP="005C7864">
      <w:pPr>
        <w:numPr>
          <w:ilvl w:val="0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The student who printed the most:</w:t>
      </w:r>
    </w:p>
    <w:p w14:paraId="01717AAB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5783 pages</w:t>
      </w:r>
    </w:p>
    <w:p w14:paraId="797BA405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3080 pages in color</w:t>
      </w:r>
    </w:p>
    <w:p w14:paraId="175052F9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2703 pages in grayscale</w:t>
      </w:r>
    </w:p>
    <w:p w14:paraId="7F8BE2E9" w14:textId="77777777" w:rsidR="005C7864" w:rsidRPr="005C7864" w:rsidRDefault="005C7864" w:rsidP="005C7864">
      <w:pPr>
        <w:numPr>
          <w:ilvl w:val="1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printed for a cost of $236.50</w:t>
      </w:r>
    </w:p>
    <w:p w14:paraId="348CF749" w14:textId="77777777" w:rsidR="005C7864" w:rsidRPr="005C7864" w:rsidRDefault="005C7864" w:rsidP="005C7864">
      <w:pPr>
        <w:numPr>
          <w:ilvl w:val="0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Six students printed for over $100, 34 from $50.00-$99.99, 258 from $20.00-$49.99.</w:t>
      </w:r>
    </w:p>
    <w:p w14:paraId="1EF78210" w14:textId="77777777" w:rsidR="005C7864" w:rsidRDefault="005C7864" w:rsidP="005C7864">
      <w:pPr>
        <w:numPr>
          <w:ilvl w:val="0"/>
          <w:numId w:val="47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C7864">
        <w:rPr>
          <w:rFonts w:ascii="Arial" w:hAnsi="Arial" w:cs="Arial"/>
          <w:color w:val="000000"/>
          <w:sz w:val="23"/>
          <w:szCs w:val="23"/>
        </w:rPr>
        <w:t>110 students printed over 1000 pages.</w:t>
      </w:r>
    </w:p>
    <w:p w14:paraId="73CEC65E" w14:textId="77777777" w:rsidR="005C7864" w:rsidRDefault="005C7864" w:rsidP="005C7864">
      <w:p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1BAEF84D" w14:textId="46CA9D9F" w:rsidR="005C7864" w:rsidRDefault="005C7864" w:rsidP="005C7864">
      <w:p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following chart illustrates the range of student printing by cost. </w:t>
      </w:r>
    </w:p>
    <w:p w14:paraId="4510CCA8" w14:textId="126EE665" w:rsidR="005C7864" w:rsidRDefault="005C7864" w:rsidP="005C7864">
      <w:p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088274B" w14:textId="438959E7" w:rsidR="005C7864" w:rsidRPr="005C7864" w:rsidRDefault="005C7864" w:rsidP="005C7864">
      <w:p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74AC904" wp14:editId="2BAA50F4">
            <wp:extent cx="5943600" cy="3818467"/>
            <wp:effectExtent l="0" t="0" r="2540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C7864" w:rsidRPr="005C7864" w:rsidSect="000F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E92"/>
    <w:multiLevelType w:val="multilevel"/>
    <w:tmpl w:val="9DD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363AA"/>
    <w:multiLevelType w:val="multilevel"/>
    <w:tmpl w:val="55ECA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37A"/>
    <w:multiLevelType w:val="multilevel"/>
    <w:tmpl w:val="314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00E"/>
    <w:multiLevelType w:val="multilevel"/>
    <w:tmpl w:val="7788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02366"/>
    <w:multiLevelType w:val="multilevel"/>
    <w:tmpl w:val="86E0D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53EDD"/>
    <w:multiLevelType w:val="hybridMultilevel"/>
    <w:tmpl w:val="4700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260FB"/>
    <w:multiLevelType w:val="hybridMultilevel"/>
    <w:tmpl w:val="A0CE8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E83C16"/>
    <w:multiLevelType w:val="hybridMultilevel"/>
    <w:tmpl w:val="B7C2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46BE8"/>
    <w:multiLevelType w:val="hybridMultilevel"/>
    <w:tmpl w:val="C2AE2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411C9"/>
    <w:multiLevelType w:val="hybridMultilevel"/>
    <w:tmpl w:val="B40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7571"/>
    <w:multiLevelType w:val="multilevel"/>
    <w:tmpl w:val="87CA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E6FAE"/>
    <w:multiLevelType w:val="multilevel"/>
    <w:tmpl w:val="750E2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D068E"/>
    <w:multiLevelType w:val="multilevel"/>
    <w:tmpl w:val="68C6F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31DAF"/>
    <w:multiLevelType w:val="multilevel"/>
    <w:tmpl w:val="E8B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131E4"/>
    <w:multiLevelType w:val="multilevel"/>
    <w:tmpl w:val="752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64A90"/>
    <w:multiLevelType w:val="hybridMultilevel"/>
    <w:tmpl w:val="580C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C144D"/>
    <w:multiLevelType w:val="multilevel"/>
    <w:tmpl w:val="25581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3471F"/>
    <w:multiLevelType w:val="multilevel"/>
    <w:tmpl w:val="85B27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1639E"/>
    <w:multiLevelType w:val="hybridMultilevel"/>
    <w:tmpl w:val="CACE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A24E08"/>
    <w:multiLevelType w:val="multilevel"/>
    <w:tmpl w:val="7AFE0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3C9D156C"/>
    <w:multiLevelType w:val="hybridMultilevel"/>
    <w:tmpl w:val="3A961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48F2"/>
    <w:multiLevelType w:val="multilevel"/>
    <w:tmpl w:val="4FD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86A42"/>
    <w:multiLevelType w:val="multilevel"/>
    <w:tmpl w:val="63BE0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55830"/>
    <w:multiLevelType w:val="multilevel"/>
    <w:tmpl w:val="E54AC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94983"/>
    <w:multiLevelType w:val="multilevel"/>
    <w:tmpl w:val="C922B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B5A4F"/>
    <w:multiLevelType w:val="multilevel"/>
    <w:tmpl w:val="BDB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81F7E"/>
    <w:multiLevelType w:val="multilevel"/>
    <w:tmpl w:val="B9D8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E4716"/>
    <w:multiLevelType w:val="multilevel"/>
    <w:tmpl w:val="DB4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927DF"/>
    <w:multiLevelType w:val="multilevel"/>
    <w:tmpl w:val="8558E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87722"/>
    <w:multiLevelType w:val="hybridMultilevel"/>
    <w:tmpl w:val="2BEED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EB6CDA"/>
    <w:multiLevelType w:val="multilevel"/>
    <w:tmpl w:val="683A0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46195"/>
    <w:multiLevelType w:val="multilevel"/>
    <w:tmpl w:val="B330A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E69CC"/>
    <w:multiLevelType w:val="multilevel"/>
    <w:tmpl w:val="F6F4A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912A3"/>
    <w:multiLevelType w:val="multilevel"/>
    <w:tmpl w:val="31061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55FBA"/>
    <w:multiLevelType w:val="multilevel"/>
    <w:tmpl w:val="5B66C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11036"/>
    <w:multiLevelType w:val="multilevel"/>
    <w:tmpl w:val="34EA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066E8"/>
    <w:multiLevelType w:val="multilevel"/>
    <w:tmpl w:val="54188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C7883"/>
    <w:multiLevelType w:val="hybridMultilevel"/>
    <w:tmpl w:val="74D4617E"/>
    <w:lvl w:ilvl="0" w:tplc="CF9E59F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9B1087"/>
    <w:multiLevelType w:val="hybridMultilevel"/>
    <w:tmpl w:val="7E24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9"/>
  </w:num>
  <w:num w:numId="5">
    <w:abstractNumId w:val="8"/>
  </w:num>
  <w:num w:numId="6">
    <w:abstractNumId w:val="27"/>
  </w:num>
  <w:num w:numId="7">
    <w:abstractNumId w:val="38"/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36"/>
    <w:lvlOverride w:ilvl="0">
      <w:lvl w:ilvl="0">
        <w:numFmt w:val="decimal"/>
        <w:lvlText w:val="%1."/>
        <w:lvlJc w:val="left"/>
      </w:lvl>
    </w:lvlOverride>
  </w:num>
  <w:num w:numId="10">
    <w:abstractNumId w:val="3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3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7"/>
  </w:num>
  <w:num w:numId="16">
    <w:abstractNumId w:val="3"/>
  </w:num>
  <w:num w:numId="17">
    <w:abstractNumId w:val="3"/>
    <w:lvlOverride w:ilvl="1">
      <w:lvl w:ilvl="1">
        <w:numFmt w:val="lowerLetter"/>
        <w:lvlText w:val="%2."/>
        <w:lvlJc w:val="left"/>
      </w:lvl>
    </w:lvlOverride>
  </w:num>
  <w:num w:numId="18">
    <w:abstractNumId w:val="3"/>
    <w:lvlOverride w:ilvl="1">
      <w:lvl w:ilvl="1">
        <w:numFmt w:val="lowerLetter"/>
        <w:lvlText w:val="%2."/>
        <w:lvlJc w:val="left"/>
      </w:lvl>
    </w:lvlOverride>
  </w:num>
  <w:num w:numId="19">
    <w:abstractNumId w:val="9"/>
  </w:num>
  <w:num w:numId="20">
    <w:abstractNumId w:val="20"/>
  </w:num>
  <w:num w:numId="21">
    <w:abstractNumId w:val="21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5"/>
  </w:num>
  <w:num w:numId="28">
    <w:abstractNumId w:val="37"/>
  </w:num>
  <w:num w:numId="29">
    <w:abstractNumId w:val="26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24"/>
    <w:lvlOverride w:ilvl="0">
      <w:lvl w:ilvl="0">
        <w:numFmt w:val="decimal"/>
        <w:lvlText w:val="%1."/>
        <w:lvlJc w:val="left"/>
      </w:lvl>
    </w:lvlOverride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0"/>
  </w:num>
  <w:num w:numId="36">
    <w:abstractNumId w:val="25"/>
  </w:num>
  <w:num w:numId="37">
    <w:abstractNumId w:val="10"/>
  </w:num>
  <w:num w:numId="38">
    <w:abstractNumId w:val="34"/>
    <w:lvlOverride w:ilvl="0">
      <w:lvl w:ilvl="0">
        <w:numFmt w:val="decimal"/>
        <w:lvlText w:val="%1."/>
        <w:lvlJc w:val="left"/>
      </w:lvl>
    </w:lvlOverride>
  </w:num>
  <w:num w:numId="39">
    <w:abstractNumId w:val="13"/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35"/>
  </w:num>
  <w:num w:numId="45">
    <w:abstractNumId w:val="19"/>
  </w:num>
  <w:num w:numId="46">
    <w:abstractNumId w:val="2"/>
  </w:num>
  <w:num w:numId="4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3F"/>
    <w:rsid w:val="000010C9"/>
    <w:rsid w:val="000145CC"/>
    <w:rsid w:val="0002115D"/>
    <w:rsid w:val="0004471F"/>
    <w:rsid w:val="000A47C1"/>
    <w:rsid w:val="000D3BF5"/>
    <w:rsid w:val="000F61CF"/>
    <w:rsid w:val="000F7A59"/>
    <w:rsid w:val="00112A3E"/>
    <w:rsid w:val="00116971"/>
    <w:rsid w:val="00124037"/>
    <w:rsid w:val="00131C49"/>
    <w:rsid w:val="001847A2"/>
    <w:rsid w:val="001A0018"/>
    <w:rsid w:val="001A5C06"/>
    <w:rsid w:val="001C2C96"/>
    <w:rsid w:val="001C6899"/>
    <w:rsid w:val="001E460C"/>
    <w:rsid w:val="00235B83"/>
    <w:rsid w:val="00280BB5"/>
    <w:rsid w:val="00285863"/>
    <w:rsid w:val="00290C05"/>
    <w:rsid w:val="002948B3"/>
    <w:rsid w:val="00355EB5"/>
    <w:rsid w:val="003C6887"/>
    <w:rsid w:val="003E5625"/>
    <w:rsid w:val="003F2432"/>
    <w:rsid w:val="003F3C77"/>
    <w:rsid w:val="00442E7F"/>
    <w:rsid w:val="0046237C"/>
    <w:rsid w:val="00473FFC"/>
    <w:rsid w:val="00475A6A"/>
    <w:rsid w:val="00477211"/>
    <w:rsid w:val="0048091E"/>
    <w:rsid w:val="004B4769"/>
    <w:rsid w:val="004C6C64"/>
    <w:rsid w:val="00536A67"/>
    <w:rsid w:val="0055668C"/>
    <w:rsid w:val="0056506E"/>
    <w:rsid w:val="0058046F"/>
    <w:rsid w:val="00590B4A"/>
    <w:rsid w:val="00594C03"/>
    <w:rsid w:val="00595606"/>
    <w:rsid w:val="005C33C5"/>
    <w:rsid w:val="005C7864"/>
    <w:rsid w:val="005D36A5"/>
    <w:rsid w:val="005E5AA4"/>
    <w:rsid w:val="005E7972"/>
    <w:rsid w:val="00621820"/>
    <w:rsid w:val="00645D4F"/>
    <w:rsid w:val="0067205C"/>
    <w:rsid w:val="00674641"/>
    <w:rsid w:val="006A1DE7"/>
    <w:rsid w:val="006C58D4"/>
    <w:rsid w:val="006F60A4"/>
    <w:rsid w:val="0071444D"/>
    <w:rsid w:val="00716AA6"/>
    <w:rsid w:val="0071778E"/>
    <w:rsid w:val="00752E34"/>
    <w:rsid w:val="0076345D"/>
    <w:rsid w:val="007A7A49"/>
    <w:rsid w:val="007C3753"/>
    <w:rsid w:val="008069FF"/>
    <w:rsid w:val="00825EDB"/>
    <w:rsid w:val="008650E7"/>
    <w:rsid w:val="0087507F"/>
    <w:rsid w:val="008C6195"/>
    <w:rsid w:val="008C62D9"/>
    <w:rsid w:val="008D0751"/>
    <w:rsid w:val="008E29E2"/>
    <w:rsid w:val="00945534"/>
    <w:rsid w:val="009644BE"/>
    <w:rsid w:val="009863F9"/>
    <w:rsid w:val="00990AFB"/>
    <w:rsid w:val="009A34DA"/>
    <w:rsid w:val="009C21C3"/>
    <w:rsid w:val="009E26DB"/>
    <w:rsid w:val="009E6823"/>
    <w:rsid w:val="009F3338"/>
    <w:rsid w:val="00A44A65"/>
    <w:rsid w:val="00A7574D"/>
    <w:rsid w:val="00AA4355"/>
    <w:rsid w:val="00B554AC"/>
    <w:rsid w:val="00B56EAD"/>
    <w:rsid w:val="00B71EFA"/>
    <w:rsid w:val="00B90E8F"/>
    <w:rsid w:val="00BC5C20"/>
    <w:rsid w:val="00BE315D"/>
    <w:rsid w:val="00C00DCA"/>
    <w:rsid w:val="00C7589C"/>
    <w:rsid w:val="00C965D9"/>
    <w:rsid w:val="00CB1E27"/>
    <w:rsid w:val="00CB22DE"/>
    <w:rsid w:val="00CC177D"/>
    <w:rsid w:val="00CF50E1"/>
    <w:rsid w:val="00D03518"/>
    <w:rsid w:val="00D1369D"/>
    <w:rsid w:val="00DA40C0"/>
    <w:rsid w:val="00E11B7B"/>
    <w:rsid w:val="00E17381"/>
    <w:rsid w:val="00E26124"/>
    <w:rsid w:val="00E4296F"/>
    <w:rsid w:val="00E90A50"/>
    <w:rsid w:val="00EB6F63"/>
    <w:rsid w:val="00EC0C0B"/>
    <w:rsid w:val="00EC1ACC"/>
    <w:rsid w:val="00F02D50"/>
    <w:rsid w:val="00F03421"/>
    <w:rsid w:val="00F133D0"/>
    <w:rsid w:val="00F41C25"/>
    <w:rsid w:val="00F819B4"/>
    <w:rsid w:val="00FB0FC0"/>
    <w:rsid w:val="00FF0DBA"/>
    <w:rsid w:val="00FF70B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0E092"/>
  <w15:docId w15:val="{88F4D29E-4627-400F-BCD4-A5B9CDE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1AC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63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F763F"/>
  </w:style>
  <w:style w:type="paragraph" w:styleId="ListParagraph">
    <w:name w:val="List Paragraph"/>
    <w:basedOn w:val="Normal"/>
    <w:uiPriority w:val="34"/>
    <w:qFormat/>
    <w:rsid w:val="00E90A50"/>
    <w:pPr>
      <w:spacing w:after="0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90A5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03518"/>
  </w:style>
  <w:style w:type="character" w:customStyle="1" w:styleId="aqj">
    <w:name w:val="aqj"/>
    <w:basedOn w:val="DefaultParagraphFont"/>
    <w:rsid w:val="00D03518"/>
  </w:style>
  <w:style w:type="paragraph" w:styleId="BalloonText">
    <w:name w:val="Balloon Text"/>
    <w:basedOn w:val="Normal"/>
    <w:link w:val="BalloonTextChar"/>
    <w:uiPriority w:val="99"/>
    <w:semiHidden/>
    <w:unhideWhenUsed/>
    <w:rsid w:val="00590B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4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C1ACC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EC1ACC"/>
  </w:style>
  <w:style w:type="character" w:styleId="FollowedHyperlink">
    <w:name w:val="FollowedHyperlink"/>
    <w:basedOn w:val="DefaultParagraphFont"/>
    <w:uiPriority w:val="99"/>
    <w:semiHidden/>
    <w:unhideWhenUsed/>
    <w:rsid w:val="00EC1A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586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F50E1"/>
    <w:rPr>
      <w:b/>
      <w:bCs/>
    </w:rPr>
  </w:style>
  <w:style w:type="character" w:styleId="Emphasis">
    <w:name w:val="Emphasis"/>
    <w:basedOn w:val="DefaultParagraphFont"/>
    <w:uiPriority w:val="20"/>
    <w:qFormat/>
    <w:rsid w:val="00CF5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griggs:Desktop:Print-Summary-0101-0301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29486261769698E-2"/>
          <c:y val="1.3416815742397101E-2"/>
          <c:w val="0.91763628104179296"/>
          <c:h val="0.829147063795022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Charts!$A$2:$A$49</c:f>
              <c:strCache>
                <c:ptCount val="48"/>
                <c:pt idx="0">
                  <c:v>0-4.99</c:v>
                </c:pt>
                <c:pt idx="1">
                  <c:v>5.00-9.99</c:v>
                </c:pt>
                <c:pt idx="2">
                  <c:v>10.00-14.99</c:v>
                </c:pt>
                <c:pt idx="3">
                  <c:v>15.00-19.99</c:v>
                </c:pt>
                <c:pt idx="4">
                  <c:v>20.00-24.99</c:v>
                </c:pt>
                <c:pt idx="5">
                  <c:v>25.00-29.99</c:v>
                </c:pt>
                <c:pt idx="6">
                  <c:v>30.00-34.99</c:v>
                </c:pt>
                <c:pt idx="7">
                  <c:v>35.00-39.99</c:v>
                </c:pt>
                <c:pt idx="8">
                  <c:v>40.00-44.99</c:v>
                </c:pt>
                <c:pt idx="9">
                  <c:v>45.00-49.99</c:v>
                </c:pt>
                <c:pt idx="10">
                  <c:v>50.00-54.99</c:v>
                </c:pt>
                <c:pt idx="11">
                  <c:v>55.00-59.99</c:v>
                </c:pt>
                <c:pt idx="12">
                  <c:v>60.00-64.99</c:v>
                </c:pt>
                <c:pt idx="13">
                  <c:v>65.00-69.99</c:v>
                </c:pt>
                <c:pt idx="14">
                  <c:v>70.00-74.99</c:v>
                </c:pt>
                <c:pt idx="15">
                  <c:v>75.00-79.99</c:v>
                </c:pt>
                <c:pt idx="16">
                  <c:v>80.00-84.99</c:v>
                </c:pt>
                <c:pt idx="17">
                  <c:v>85.00-89.99</c:v>
                </c:pt>
                <c:pt idx="18">
                  <c:v>90.00-94.99</c:v>
                </c:pt>
                <c:pt idx="19">
                  <c:v>95.00-99.00</c:v>
                </c:pt>
                <c:pt idx="20">
                  <c:v>100.00-104.99</c:v>
                </c:pt>
                <c:pt idx="21">
                  <c:v>105.00-109.99</c:v>
                </c:pt>
                <c:pt idx="22">
                  <c:v>110.00-114.99</c:v>
                </c:pt>
                <c:pt idx="23">
                  <c:v>115.00-119.99</c:v>
                </c:pt>
                <c:pt idx="24">
                  <c:v>120.00-124.99</c:v>
                </c:pt>
                <c:pt idx="25">
                  <c:v>125.00-129.99</c:v>
                </c:pt>
                <c:pt idx="26">
                  <c:v>130.00-134.99</c:v>
                </c:pt>
                <c:pt idx="27">
                  <c:v>135.00-139.99</c:v>
                </c:pt>
                <c:pt idx="28">
                  <c:v>140.00-144.99</c:v>
                </c:pt>
                <c:pt idx="29">
                  <c:v>145.00-149.99</c:v>
                </c:pt>
                <c:pt idx="30">
                  <c:v>150.00-154.99</c:v>
                </c:pt>
                <c:pt idx="31">
                  <c:v>155.00-159.99</c:v>
                </c:pt>
                <c:pt idx="32">
                  <c:v>160.00-164.99</c:v>
                </c:pt>
                <c:pt idx="33">
                  <c:v>165.00-169.99</c:v>
                </c:pt>
                <c:pt idx="34">
                  <c:v>170.00-174.99</c:v>
                </c:pt>
                <c:pt idx="35">
                  <c:v>175.00-179.99</c:v>
                </c:pt>
                <c:pt idx="36">
                  <c:v>180.00-184.99</c:v>
                </c:pt>
                <c:pt idx="37">
                  <c:v>185.00-189.99</c:v>
                </c:pt>
                <c:pt idx="38">
                  <c:v>190.00-194.99</c:v>
                </c:pt>
                <c:pt idx="39">
                  <c:v>195.00-199.99</c:v>
                </c:pt>
                <c:pt idx="40">
                  <c:v>200.00-204.99</c:v>
                </c:pt>
                <c:pt idx="41">
                  <c:v>205.00-209.99</c:v>
                </c:pt>
                <c:pt idx="42">
                  <c:v>210.00-214.99</c:v>
                </c:pt>
                <c:pt idx="43">
                  <c:v>215.00-219.99</c:v>
                </c:pt>
                <c:pt idx="44">
                  <c:v>220.00-224.99</c:v>
                </c:pt>
                <c:pt idx="45">
                  <c:v>225.00-229.99</c:v>
                </c:pt>
                <c:pt idx="46">
                  <c:v>230.00-234.99</c:v>
                </c:pt>
                <c:pt idx="47">
                  <c:v>235.00-239.99</c:v>
                </c:pt>
              </c:strCache>
            </c:strRef>
          </c:cat>
          <c:val>
            <c:numRef>
              <c:f>Charts!$B$2:$B$49</c:f>
              <c:numCache>
                <c:formatCode>General</c:formatCode>
                <c:ptCount val="48"/>
                <c:pt idx="0">
                  <c:v>594</c:v>
                </c:pt>
                <c:pt idx="1">
                  <c:v>359</c:v>
                </c:pt>
                <c:pt idx="2">
                  <c:v>227</c:v>
                </c:pt>
                <c:pt idx="3">
                  <c:v>137</c:v>
                </c:pt>
                <c:pt idx="4">
                  <c:v>101</c:v>
                </c:pt>
                <c:pt idx="5">
                  <c:v>65</c:v>
                </c:pt>
                <c:pt idx="6">
                  <c:v>47</c:v>
                </c:pt>
                <c:pt idx="7">
                  <c:v>19</c:v>
                </c:pt>
                <c:pt idx="8">
                  <c:v>12</c:v>
                </c:pt>
                <c:pt idx="9">
                  <c:v>14</c:v>
                </c:pt>
                <c:pt idx="10">
                  <c:v>5</c:v>
                </c:pt>
                <c:pt idx="11">
                  <c:v>14</c:v>
                </c:pt>
                <c:pt idx="12">
                  <c:v>4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32">
                  <c:v>1</c:v>
                </c:pt>
                <c:pt idx="4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27176"/>
        <c:axId val="64027568"/>
      </c:barChart>
      <c:catAx>
        <c:axId val="64027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kern="1200"/>
            </a:pPr>
            <a:endParaRPr lang="en-US"/>
          </a:p>
        </c:txPr>
        <c:crossAx val="64027568"/>
        <c:crosses val="autoZero"/>
        <c:auto val="0"/>
        <c:lblAlgn val="ctr"/>
        <c:lblOffset val="100"/>
        <c:tickLblSkip val="1"/>
        <c:noMultiLvlLbl val="0"/>
      </c:catAx>
      <c:valAx>
        <c:axId val="64027568"/>
        <c:scaling>
          <c:orientation val="minMax"/>
          <c:max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27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AF97C-0830-40DB-B55E-22CF287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K. Griggs</dc:creator>
  <cp:lastModifiedBy>Jami E. Peelle</cp:lastModifiedBy>
  <cp:revision>2</cp:revision>
  <cp:lastPrinted>2015-01-22T20:40:00Z</cp:lastPrinted>
  <dcterms:created xsi:type="dcterms:W3CDTF">2015-03-23T14:15:00Z</dcterms:created>
  <dcterms:modified xsi:type="dcterms:W3CDTF">2015-03-23T14:15:00Z</dcterms:modified>
</cp:coreProperties>
</file>