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495" w:rsidRPr="008622AD" w:rsidRDefault="00EF6EC3">
      <w:pPr>
        <w:rPr>
          <w:b/>
          <w:sz w:val="28"/>
        </w:rPr>
      </w:pPr>
      <w:r w:rsidRPr="008622AD">
        <w:rPr>
          <w:b/>
          <w:sz w:val="28"/>
        </w:rPr>
        <w:t>CEL and the IRB</w:t>
      </w:r>
    </w:p>
    <w:p w:rsidR="00A559FB" w:rsidRDefault="00A559FB">
      <w:r>
        <w:t>Many CEL activities will be deemed to not be human subjects research</w:t>
      </w:r>
      <w:r w:rsidR="00DF6A77">
        <w:t xml:space="preserve"> (NHSR</w:t>
      </w:r>
      <w:r w:rsidR="0073480F">
        <w:t>) or</w:t>
      </w:r>
      <w:r>
        <w:t xml:space="preserve"> will be eligible for an exemption.  </w:t>
      </w:r>
      <w:r w:rsidR="00DF6A77">
        <w:t xml:space="preserve">Please use the </w:t>
      </w:r>
      <w:r w:rsidR="00F24CC2">
        <w:t>Course</w:t>
      </w:r>
      <w:r w:rsidR="00DF6A77">
        <w:t xml:space="preserve"> applic</w:t>
      </w:r>
      <w:r w:rsidR="008622AD">
        <w:t xml:space="preserve">ation for an initial review to determine if the activity is deemed NHSR, eligible for Exemption, or will need another level of </w:t>
      </w:r>
      <w:r w:rsidR="00342DED">
        <w:t xml:space="preserve">IRB </w:t>
      </w:r>
      <w:r w:rsidR="008622AD">
        <w:t>review.</w:t>
      </w:r>
      <w:r w:rsidR="00AE78AF">
        <w:t xml:space="preserve"> The </w:t>
      </w:r>
      <w:r w:rsidR="00F24CC2">
        <w:t xml:space="preserve">Course Review </w:t>
      </w:r>
      <w:r w:rsidR="00AE78AF">
        <w:t xml:space="preserve">IRB form will ask you to suggest and defend the </w:t>
      </w:r>
      <w:r w:rsidR="00CB50E5">
        <w:t>determination you think will apply, but the IRB will document the final determination.</w:t>
      </w:r>
    </w:p>
    <w:p w:rsidR="00342DED" w:rsidRDefault="00342DED">
      <w:pPr>
        <w:rPr>
          <w:sz w:val="16"/>
          <w:szCs w:val="16"/>
        </w:rPr>
      </w:pPr>
      <w:r>
        <w:t>No matter what</w:t>
      </w:r>
      <w:r w:rsidR="00CB50E5">
        <w:t xml:space="preserve"> determination is made</w:t>
      </w:r>
      <w:r>
        <w:t xml:space="preserve">, it is important that you provide your students with some sort of training that addresses cultural awareness and professional and research ethics before they are immersed in Community Engaged Learning activities. </w:t>
      </w:r>
      <w:r w:rsidR="00CB50E5">
        <w:br/>
        <w:t xml:space="preserve">CITI training in Human Subjects protection and Responsible Conduct of Research is highly recommended for all CEL courses.  </w:t>
      </w:r>
      <w:r w:rsidR="00CB50E5" w:rsidRPr="00CB50E5">
        <w:rPr>
          <w:sz w:val="20"/>
        </w:rPr>
        <w:t xml:space="preserve"> </w:t>
      </w:r>
      <w:hyperlink r:id="rId7" w:tooltip="Other CITI Courses" w:history="1">
        <w:r w:rsidR="00CB50E5" w:rsidRPr="00CB50E5">
          <w:rPr>
            <w:rStyle w:val="Strong"/>
            <w:rFonts w:ascii="inherit" w:hAnsi="inherit"/>
            <w:color w:val="1F1120"/>
            <w:sz w:val="23"/>
            <w:szCs w:val="27"/>
            <w:u w:val="single"/>
            <w:bdr w:val="none" w:sz="0" w:space="0" w:color="auto" w:frame="1"/>
            <w:shd w:val="clear" w:color="auto" w:fill="FAFAFA"/>
          </w:rPr>
          <w:t>CITI Research Compliance Courses </w:t>
        </w:r>
      </w:hyperlink>
      <w:r w:rsidR="00CB50E5">
        <w:t xml:space="preserve"> </w:t>
      </w:r>
      <w:r w:rsidR="00CB50E5" w:rsidRPr="00CB50E5">
        <w:rPr>
          <w:sz w:val="16"/>
          <w:szCs w:val="16"/>
        </w:rPr>
        <w:t>(ctrl + Click to follow link)</w:t>
      </w:r>
    </w:p>
    <w:p w:rsidR="003E236F" w:rsidRDefault="003E236F">
      <w:pPr>
        <w:rPr>
          <w:sz w:val="16"/>
          <w:szCs w:val="16"/>
        </w:rPr>
      </w:pPr>
    </w:p>
    <w:p w:rsidR="003E236F" w:rsidRPr="00CB50E5" w:rsidRDefault="003E236F">
      <w:pPr>
        <w:rPr>
          <w:sz w:val="16"/>
          <w:szCs w:val="16"/>
        </w:rPr>
      </w:pPr>
    </w:p>
    <w:tbl>
      <w:tblPr>
        <w:tblStyle w:val="TableGrid"/>
        <w:tblW w:w="9895" w:type="dxa"/>
        <w:tblLook w:val="04A0" w:firstRow="1" w:lastRow="0" w:firstColumn="1" w:lastColumn="0" w:noHBand="0" w:noVBand="1"/>
      </w:tblPr>
      <w:tblGrid>
        <w:gridCol w:w="1658"/>
        <w:gridCol w:w="6022"/>
        <w:gridCol w:w="2215"/>
      </w:tblGrid>
      <w:tr w:rsidR="00EF6EC3" w:rsidTr="0073480F">
        <w:tc>
          <w:tcPr>
            <w:tcW w:w="1658" w:type="dxa"/>
          </w:tcPr>
          <w:p w:rsidR="00EF6EC3" w:rsidRPr="00EF6EC3" w:rsidRDefault="00EF6EC3">
            <w:pPr>
              <w:rPr>
                <w:b/>
              </w:rPr>
            </w:pPr>
            <w:r w:rsidRPr="00EF6EC3">
              <w:rPr>
                <w:b/>
              </w:rPr>
              <w:t>Activities</w:t>
            </w:r>
          </w:p>
        </w:tc>
        <w:tc>
          <w:tcPr>
            <w:tcW w:w="6022" w:type="dxa"/>
          </w:tcPr>
          <w:p w:rsidR="00EF6EC3" w:rsidRPr="00EF6EC3" w:rsidRDefault="00EF6EC3">
            <w:pPr>
              <w:rPr>
                <w:b/>
              </w:rPr>
            </w:pPr>
            <w:r w:rsidRPr="00EF6EC3">
              <w:rPr>
                <w:b/>
              </w:rPr>
              <w:t>Description</w:t>
            </w:r>
          </w:p>
        </w:tc>
        <w:tc>
          <w:tcPr>
            <w:tcW w:w="2215" w:type="dxa"/>
          </w:tcPr>
          <w:p w:rsidR="00EF6EC3" w:rsidRDefault="00DF6A77" w:rsidP="00DF6A77">
            <w:pPr>
              <w:rPr>
                <w:b/>
              </w:rPr>
            </w:pPr>
            <w:r>
              <w:rPr>
                <w:b/>
              </w:rPr>
              <w:t xml:space="preserve">Probable </w:t>
            </w:r>
            <w:r w:rsidR="00EF6EC3" w:rsidRPr="00EF6EC3">
              <w:rPr>
                <w:b/>
              </w:rPr>
              <w:t xml:space="preserve">IRB </w:t>
            </w:r>
          </w:p>
          <w:p w:rsidR="00DF6A77" w:rsidRPr="00EF6EC3" w:rsidRDefault="00DF6A77" w:rsidP="00DF6A77">
            <w:pPr>
              <w:rPr>
                <w:b/>
              </w:rPr>
            </w:pPr>
            <w:r>
              <w:rPr>
                <w:b/>
              </w:rPr>
              <w:t>Determination</w:t>
            </w:r>
          </w:p>
        </w:tc>
      </w:tr>
      <w:tr w:rsidR="00EF6EC3" w:rsidTr="0073480F">
        <w:tc>
          <w:tcPr>
            <w:tcW w:w="1658" w:type="dxa"/>
          </w:tcPr>
          <w:p w:rsidR="00EF6EC3" w:rsidRDefault="00EF6EC3" w:rsidP="00EF6EC3">
            <w:r>
              <w:t xml:space="preserve">Quality Assurance and Quality Improvement Activities </w:t>
            </w:r>
          </w:p>
        </w:tc>
        <w:tc>
          <w:tcPr>
            <w:tcW w:w="6022" w:type="dxa"/>
          </w:tcPr>
          <w:p w:rsidR="00EF6EC3" w:rsidRDefault="00EF6EC3" w:rsidP="00995891">
            <w:r>
              <w:t>Data collected with the limited intent of evaluation and improving existing services and programs or for developing new services or</w:t>
            </w:r>
            <w:r w:rsidR="0073480F">
              <w:t xml:space="preserve"> </w:t>
            </w:r>
            <w:r>
              <w:t xml:space="preserve">programs. There must be no plans to disseminate the knowledge beyond </w:t>
            </w:r>
            <w:r w:rsidR="00995891">
              <w:t>the CEL partner or Kenyon classroom. Example</w:t>
            </w:r>
            <w:r w:rsidR="00DF6A77">
              <w:t xml:space="preserve"> </w:t>
            </w:r>
            <w:r w:rsidR="00995891">
              <w:t>-</w:t>
            </w:r>
            <w:r>
              <w:t xml:space="preserve"> customer service surveys</w:t>
            </w:r>
            <w:r w:rsidR="00995891">
              <w:t xml:space="preserve">, </w:t>
            </w:r>
          </w:p>
          <w:p w:rsidR="00DF6A77" w:rsidRDefault="00DF6A77" w:rsidP="00995891"/>
        </w:tc>
        <w:tc>
          <w:tcPr>
            <w:tcW w:w="2215" w:type="dxa"/>
          </w:tcPr>
          <w:p w:rsidR="00EF6EC3" w:rsidRDefault="00995891" w:rsidP="0073480F">
            <w:pPr>
              <w:jc w:val="center"/>
            </w:pPr>
            <w:r>
              <w:lastRenderedPageBreak/>
              <w:br/>
            </w:r>
            <w:r>
              <w:br/>
              <w:t>N</w:t>
            </w:r>
            <w:r w:rsidR="00DF6A77">
              <w:t>HSR or Exemption</w:t>
            </w:r>
          </w:p>
        </w:tc>
      </w:tr>
      <w:tr w:rsidR="00EF6EC3" w:rsidTr="0073480F">
        <w:tc>
          <w:tcPr>
            <w:tcW w:w="1658" w:type="dxa"/>
          </w:tcPr>
          <w:p w:rsidR="00EF6EC3" w:rsidRDefault="00EF6EC3" w:rsidP="00EF6EC3">
            <w:r>
              <w:t>Research on</w:t>
            </w:r>
          </w:p>
          <w:p w:rsidR="00EF6EC3" w:rsidRDefault="00EF6EC3" w:rsidP="00EF6EC3">
            <w:r>
              <w:t>Organizations</w:t>
            </w:r>
          </w:p>
        </w:tc>
        <w:tc>
          <w:tcPr>
            <w:tcW w:w="6022" w:type="dxa"/>
          </w:tcPr>
          <w:p w:rsidR="00EF6EC3" w:rsidRDefault="00EF6EC3">
            <w:pPr>
              <w:rPr>
                <w:b/>
              </w:rPr>
            </w:pPr>
            <w:r>
              <w:t xml:space="preserve">Information gathering about organizations, including information about operations, budgets, etc. from organizational spokespersons or data sources. </w:t>
            </w:r>
            <w:r w:rsidRPr="00EF6EC3">
              <w:rPr>
                <w:b/>
              </w:rPr>
              <w:t>Does not include identifiable private information about individual members, employees, or staff of the organization.</w:t>
            </w:r>
          </w:p>
          <w:p w:rsidR="00F24CC2" w:rsidRDefault="00F24CC2">
            <w:pPr>
              <w:rPr>
                <w:b/>
              </w:rPr>
            </w:pPr>
          </w:p>
          <w:p w:rsidR="00F24CC2" w:rsidRDefault="00F24CC2">
            <w:pPr>
              <w:rPr>
                <w:b/>
              </w:rPr>
            </w:pPr>
            <w:r>
              <w:rPr>
                <w:b/>
              </w:rPr>
              <w:t>see list below for examples</w:t>
            </w:r>
          </w:p>
          <w:p w:rsidR="00DF6A77" w:rsidRDefault="00DF6A77"/>
        </w:tc>
        <w:tc>
          <w:tcPr>
            <w:tcW w:w="2215" w:type="dxa"/>
          </w:tcPr>
          <w:p w:rsidR="00995891" w:rsidRDefault="00995891" w:rsidP="00995891">
            <w:pPr>
              <w:jc w:val="center"/>
            </w:pPr>
          </w:p>
          <w:p w:rsidR="00995891" w:rsidRDefault="00995891" w:rsidP="00995891">
            <w:pPr>
              <w:jc w:val="center"/>
            </w:pPr>
          </w:p>
          <w:p w:rsidR="00EF6EC3" w:rsidRDefault="00995891" w:rsidP="00DF6A77">
            <w:pPr>
              <w:jc w:val="center"/>
            </w:pPr>
            <w:r>
              <w:t>N</w:t>
            </w:r>
            <w:r w:rsidR="00DF6A77">
              <w:t>HSR</w:t>
            </w:r>
          </w:p>
        </w:tc>
      </w:tr>
      <w:tr w:rsidR="00EF6EC3" w:rsidTr="0073480F">
        <w:tc>
          <w:tcPr>
            <w:tcW w:w="1658" w:type="dxa"/>
          </w:tcPr>
          <w:p w:rsidR="00EF6EC3" w:rsidRDefault="00995891">
            <w:r>
              <w:t>Research Using Publicly Available Data Sets</w:t>
            </w:r>
          </w:p>
        </w:tc>
        <w:tc>
          <w:tcPr>
            <w:tcW w:w="6022" w:type="dxa"/>
          </w:tcPr>
          <w:p w:rsidR="00EF6EC3" w:rsidRDefault="00995891" w:rsidP="00995891">
            <w:r>
              <w:t>Use of publicly available data sets that do not include information that can be used to identify individuals. “Publicly available” is defined as</w:t>
            </w:r>
            <w:r w:rsidR="0073480F">
              <w:t xml:space="preserve"> </w:t>
            </w:r>
            <w:r>
              <w:t>information shared without conditions on use. This may include data sets that require payment of a fee to gain access to the data.</w:t>
            </w:r>
          </w:p>
          <w:p w:rsidR="00DF6A77" w:rsidRDefault="00DF6A77" w:rsidP="00995891"/>
        </w:tc>
        <w:tc>
          <w:tcPr>
            <w:tcW w:w="2215" w:type="dxa"/>
          </w:tcPr>
          <w:p w:rsidR="00995891" w:rsidRDefault="00995891" w:rsidP="00995891">
            <w:pPr>
              <w:jc w:val="center"/>
            </w:pPr>
          </w:p>
          <w:p w:rsidR="00995891" w:rsidRDefault="00995891" w:rsidP="00995891">
            <w:pPr>
              <w:jc w:val="center"/>
            </w:pPr>
          </w:p>
          <w:p w:rsidR="00EF6EC3" w:rsidRDefault="00DF6A77" w:rsidP="00995891">
            <w:pPr>
              <w:jc w:val="center"/>
            </w:pPr>
            <w:r>
              <w:t>Exemption</w:t>
            </w:r>
          </w:p>
        </w:tc>
      </w:tr>
      <w:tr w:rsidR="00EF6EC3" w:rsidTr="0073480F">
        <w:tc>
          <w:tcPr>
            <w:tcW w:w="1658" w:type="dxa"/>
          </w:tcPr>
          <w:p w:rsidR="00995891" w:rsidRDefault="00995891" w:rsidP="00995891">
            <w:r>
              <w:t>Community Service</w:t>
            </w:r>
          </w:p>
          <w:p w:rsidR="00EF6EC3" w:rsidRDefault="00995891" w:rsidP="00995891">
            <w:r>
              <w:t>Projects</w:t>
            </w:r>
          </w:p>
        </w:tc>
        <w:tc>
          <w:tcPr>
            <w:tcW w:w="6022" w:type="dxa"/>
          </w:tcPr>
          <w:p w:rsidR="00EF6EC3" w:rsidRDefault="00995891">
            <w:r>
              <w:t>Donated service or activity that is performed by someone or a group of people solely for the benefit of the public or its institutions.</w:t>
            </w:r>
          </w:p>
          <w:p w:rsidR="00995891" w:rsidRDefault="0069607A">
            <w:r>
              <w:br/>
            </w:r>
            <w:r w:rsidR="00DF6A77">
              <w:t>Example -</w:t>
            </w:r>
            <w:r w:rsidR="00995891">
              <w:t xml:space="preserve"> developing web, internet, </w:t>
            </w:r>
            <w:r w:rsidR="00A559FB">
              <w:t>data management tools or content</w:t>
            </w:r>
            <w:r>
              <w:t xml:space="preserve"> for a community partner</w:t>
            </w:r>
            <w:r w:rsidR="00A559FB">
              <w:t>.</w:t>
            </w:r>
          </w:p>
        </w:tc>
        <w:tc>
          <w:tcPr>
            <w:tcW w:w="2215" w:type="dxa"/>
          </w:tcPr>
          <w:p w:rsidR="00EF6EC3" w:rsidRDefault="00995891" w:rsidP="00DF6A77">
            <w:r>
              <w:t xml:space="preserve">          N</w:t>
            </w:r>
            <w:r w:rsidR="00DF6A77">
              <w:t>HSR</w:t>
            </w:r>
            <w:r>
              <w:br/>
              <w:t>(but if human subject data are collected during the activity to be used for research protocols, submission to the IRB is required)</w:t>
            </w:r>
          </w:p>
          <w:p w:rsidR="00F24CC2" w:rsidRDefault="00F24CC2" w:rsidP="00DF6A77"/>
        </w:tc>
      </w:tr>
      <w:tr w:rsidR="00EF6EC3" w:rsidTr="0073480F">
        <w:tc>
          <w:tcPr>
            <w:tcW w:w="1658" w:type="dxa"/>
          </w:tcPr>
          <w:p w:rsidR="00A559FB" w:rsidRDefault="00A559FB" w:rsidP="00A559FB">
            <w:r>
              <w:t>Behavioral and Social</w:t>
            </w:r>
          </w:p>
          <w:p w:rsidR="00EF6EC3" w:rsidRDefault="00A559FB" w:rsidP="00A559FB">
            <w:r>
              <w:t>Sciences Research</w:t>
            </w:r>
          </w:p>
        </w:tc>
        <w:tc>
          <w:tcPr>
            <w:tcW w:w="6022" w:type="dxa"/>
          </w:tcPr>
          <w:p w:rsidR="00DF6A77" w:rsidRDefault="00A559FB" w:rsidP="008622AD">
            <w:r>
              <w:t>Focuses on individual and group behavior, mental processes, or social constructs and usually generates data by means of surveys, interviews, observations, studies of existing records, and experimental designs involving exposure to some type of stimulus or environmental intervention.</w:t>
            </w:r>
          </w:p>
          <w:p w:rsidR="0073480F" w:rsidRDefault="0073480F" w:rsidP="008622AD"/>
        </w:tc>
        <w:tc>
          <w:tcPr>
            <w:tcW w:w="2215" w:type="dxa"/>
          </w:tcPr>
          <w:p w:rsidR="00A559FB" w:rsidRDefault="00A559FB" w:rsidP="00A559FB">
            <w:pPr>
              <w:jc w:val="center"/>
            </w:pPr>
          </w:p>
          <w:p w:rsidR="00EF6EC3" w:rsidRDefault="00DF6A77" w:rsidP="0073480F">
            <w:pPr>
              <w:ind w:right="-198"/>
              <w:jc w:val="center"/>
            </w:pPr>
            <w:r>
              <w:t>Exemption or Expedited review if minimal risk</w:t>
            </w:r>
          </w:p>
        </w:tc>
      </w:tr>
      <w:tr w:rsidR="00995891" w:rsidTr="0073480F">
        <w:tc>
          <w:tcPr>
            <w:tcW w:w="1658" w:type="dxa"/>
          </w:tcPr>
          <w:p w:rsidR="00995891" w:rsidRDefault="00A559FB">
            <w:r w:rsidRPr="00A559FB">
              <w:t>Oral History</w:t>
            </w:r>
          </w:p>
        </w:tc>
        <w:tc>
          <w:tcPr>
            <w:tcW w:w="6022" w:type="dxa"/>
          </w:tcPr>
          <w:p w:rsidR="00A559FB" w:rsidRDefault="00A559FB" w:rsidP="00A559FB">
            <w:r>
              <w:t>Interviews concerning the past that collect and interpret the voices and memories of people as a method of historical documentation and that are preserved by placement in some form of depository or archive for access by other researchers. Research activities</w:t>
            </w:r>
            <w:r w:rsidR="00BC239C">
              <w:t xml:space="preserve"> must</w:t>
            </w:r>
            <w:r>
              <w:t xml:space="preserve"> conform to the Principles of Best Practices of the Oral History Association:</w:t>
            </w:r>
          </w:p>
          <w:p w:rsidR="0073480F" w:rsidRDefault="00036F30" w:rsidP="00A559FB">
            <w:hyperlink r:id="rId8" w:history="1">
              <w:r w:rsidR="00A559FB" w:rsidRPr="00C20732">
                <w:rPr>
                  <w:rStyle w:val="Hyperlink"/>
                </w:rPr>
                <w:t>http://www.oralhistory.org/about/principles-and-practices</w:t>
              </w:r>
            </w:hyperlink>
            <w:r w:rsidR="00A559FB">
              <w:t xml:space="preserve"> </w:t>
            </w:r>
          </w:p>
          <w:p w:rsidR="003E236F" w:rsidRDefault="003E236F" w:rsidP="00A559FB"/>
          <w:p w:rsidR="003E236F" w:rsidRDefault="003E236F" w:rsidP="00A559FB">
            <w:r>
              <w:t>The repos</w:t>
            </w:r>
            <w:r w:rsidR="00026936">
              <w:t>itory may have additional rules/expectations.</w:t>
            </w:r>
          </w:p>
        </w:tc>
        <w:tc>
          <w:tcPr>
            <w:tcW w:w="2215" w:type="dxa"/>
          </w:tcPr>
          <w:p w:rsidR="00995891" w:rsidRDefault="008F1B30" w:rsidP="00A559FB">
            <w:pPr>
              <w:jc w:val="center"/>
            </w:pPr>
            <w:r>
              <w:t xml:space="preserve">NHSR </w:t>
            </w:r>
          </w:p>
          <w:p w:rsidR="00BC239C" w:rsidRDefault="00BC239C" w:rsidP="00BC239C">
            <w:r w:rsidRPr="00BC239C">
              <w:rPr>
                <w:b/>
                <w:sz w:val="28"/>
              </w:rPr>
              <w:t>Contact:</w:t>
            </w:r>
            <w:r>
              <w:br/>
              <w:t xml:space="preserve">Digital Initiatives Librarian Jenna Nolt </w:t>
            </w:r>
          </w:p>
          <w:p w:rsidR="00BC239C" w:rsidRDefault="00BC239C" w:rsidP="00BC239C">
            <w:r>
              <w:t>40-427-5698 or noltj@kenyon.edu</w:t>
            </w:r>
          </w:p>
          <w:p w:rsidR="00BC239C" w:rsidRDefault="00BC239C" w:rsidP="00A559FB">
            <w:pPr>
              <w:jc w:val="center"/>
            </w:pPr>
          </w:p>
          <w:p w:rsidR="00A559FB" w:rsidRDefault="00BC239C" w:rsidP="0073480F">
            <w:r>
              <w:t>See Also:</w:t>
            </w:r>
            <w:r>
              <w:br/>
            </w:r>
            <w:hyperlink r:id="rId9" w:history="1">
              <w:r w:rsidRPr="00BC239C">
                <w:rPr>
                  <w:rStyle w:val="Hyperlink"/>
                </w:rPr>
                <w:t>Oral History Pro</w:t>
              </w:r>
              <w:bookmarkStart w:id="0" w:name="_GoBack"/>
              <w:bookmarkEnd w:id="0"/>
              <w:r w:rsidRPr="00BC239C">
                <w:rPr>
                  <w:rStyle w:val="Hyperlink"/>
                </w:rPr>
                <w:t>je</w:t>
              </w:r>
              <w:r w:rsidRPr="00BC239C">
                <w:rPr>
                  <w:rStyle w:val="Hyperlink"/>
                </w:rPr>
                <w:t>cts</w:t>
              </w:r>
            </w:hyperlink>
          </w:p>
          <w:p w:rsidR="00BC239C" w:rsidRDefault="00BC239C" w:rsidP="0073480F"/>
        </w:tc>
      </w:tr>
      <w:tr w:rsidR="00995891" w:rsidTr="0073480F">
        <w:tc>
          <w:tcPr>
            <w:tcW w:w="1658" w:type="dxa"/>
          </w:tcPr>
          <w:p w:rsidR="00995891" w:rsidRDefault="008622AD">
            <w:r>
              <w:t>Journalism</w:t>
            </w:r>
          </w:p>
        </w:tc>
        <w:tc>
          <w:tcPr>
            <w:tcW w:w="6022" w:type="dxa"/>
          </w:tcPr>
          <w:p w:rsidR="008622AD" w:rsidRDefault="008622AD" w:rsidP="008622AD">
            <w:r>
              <w:t>Activities focused on the collection, verification, reporting, and analysis of information or facts on current events, trends, issues or individuals</w:t>
            </w:r>
            <w:r w:rsidR="00AE78AF">
              <w:t xml:space="preserve"> </w:t>
            </w:r>
            <w:r>
              <w:lastRenderedPageBreak/>
              <w:t>involved in such events or issues. There is no intent to test hypotheses, and activities cannot reasonably be characterized as a systematic</w:t>
            </w:r>
          </w:p>
          <w:p w:rsidR="008622AD" w:rsidRDefault="008622AD" w:rsidP="008622AD">
            <w:r>
              <w:t xml:space="preserve">investigation. Research activities should be consistent with the Code of Ethics of the Society of Professional </w:t>
            </w:r>
            <w:r w:rsidR="0069607A">
              <w:t>J</w:t>
            </w:r>
            <w:r>
              <w:t>ournalists.</w:t>
            </w:r>
          </w:p>
          <w:p w:rsidR="00995891" w:rsidRDefault="00036F30" w:rsidP="008622AD">
            <w:hyperlink r:id="rId10" w:history="1">
              <w:r w:rsidR="008622AD" w:rsidRPr="00C20732">
                <w:rPr>
                  <w:rStyle w:val="Hyperlink"/>
                </w:rPr>
                <w:t>http://www.spj.org/ethicscode.asp</w:t>
              </w:r>
            </w:hyperlink>
            <w:r w:rsidR="008622AD">
              <w:t xml:space="preserve"> </w:t>
            </w:r>
          </w:p>
        </w:tc>
        <w:tc>
          <w:tcPr>
            <w:tcW w:w="2215" w:type="dxa"/>
          </w:tcPr>
          <w:p w:rsidR="008622AD" w:rsidRDefault="008622AD" w:rsidP="008622AD">
            <w:pPr>
              <w:jc w:val="center"/>
            </w:pPr>
            <w:r>
              <w:lastRenderedPageBreak/>
              <w:t>N</w:t>
            </w:r>
            <w:r w:rsidR="008F1B30">
              <w:t>HSR</w:t>
            </w:r>
          </w:p>
          <w:p w:rsidR="008622AD" w:rsidRDefault="008622AD" w:rsidP="008622AD">
            <w:r>
              <w:t>(but exercise of</w:t>
            </w:r>
          </w:p>
          <w:p w:rsidR="00995891" w:rsidRDefault="008622AD" w:rsidP="00490447">
            <w:r>
              <w:lastRenderedPageBreak/>
              <w:t>professional ethics</w:t>
            </w:r>
            <w:r w:rsidR="00490447">
              <w:t xml:space="preserve"> </w:t>
            </w:r>
            <w:r>
              <w:t>is expected)</w:t>
            </w:r>
          </w:p>
        </w:tc>
      </w:tr>
      <w:tr w:rsidR="00995891" w:rsidTr="0073480F">
        <w:tc>
          <w:tcPr>
            <w:tcW w:w="1658" w:type="dxa"/>
          </w:tcPr>
          <w:p w:rsidR="00995891" w:rsidRDefault="008622AD">
            <w:r>
              <w:lastRenderedPageBreak/>
              <w:t>Photography</w:t>
            </w:r>
            <w:r w:rsidR="00B778EF">
              <w:t xml:space="preserve"> - Artistic</w:t>
            </w:r>
          </w:p>
        </w:tc>
        <w:tc>
          <w:tcPr>
            <w:tcW w:w="6022" w:type="dxa"/>
          </w:tcPr>
          <w:p w:rsidR="00490447" w:rsidRDefault="00B778EF">
            <w:r>
              <w:t>If artistic, the IRB does not need to review. However, the State of Ohio requires a written Model Release.</w:t>
            </w:r>
            <w:r w:rsidR="00490447">
              <w:t xml:space="preserve">  See </w:t>
            </w:r>
            <w:hyperlink r:id="rId11" w:history="1">
              <w:r w:rsidR="00490447" w:rsidRPr="00C20732">
                <w:rPr>
                  <w:rStyle w:val="Hyperlink"/>
                </w:rPr>
                <w:t>https://www.ppa.com/files/pdfs/modelreleasewhitepaper.pdf</w:t>
              </w:r>
            </w:hyperlink>
          </w:p>
          <w:p w:rsidR="00490447" w:rsidRDefault="00490447"/>
          <w:p w:rsidR="00490447" w:rsidRPr="00AE78AF" w:rsidRDefault="00490447">
            <w:pPr>
              <w:rPr>
                <w:b/>
              </w:rPr>
            </w:pPr>
            <w:r w:rsidRPr="00AE78AF">
              <w:rPr>
                <w:b/>
              </w:rPr>
              <w:t>Be sure to keep signed release forms.</w:t>
            </w:r>
          </w:p>
          <w:p w:rsidR="00995891" w:rsidRDefault="00490447">
            <w:r>
              <w:t xml:space="preserve"> </w:t>
            </w:r>
          </w:p>
        </w:tc>
        <w:tc>
          <w:tcPr>
            <w:tcW w:w="2215" w:type="dxa"/>
          </w:tcPr>
          <w:p w:rsidR="00490447" w:rsidRDefault="008F1B30" w:rsidP="00490447">
            <w:pPr>
              <w:jc w:val="center"/>
            </w:pPr>
            <w:r>
              <w:t>NHSR</w:t>
            </w:r>
          </w:p>
          <w:p w:rsidR="00490447" w:rsidRDefault="00490447" w:rsidP="00490447">
            <w:r>
              <w:t>(but exercise of</w:t>
            </w:r>
          </w:p>
          <w:p w:rsidR="00995891" w:rsidRDefault="00490447" w:rsidP="00490447">
            <w:r>
              <w:t>professional ethics is expected)</w:t>
            </w:r>
          </w:p>
        </w:tc>
      </w:tr>
      <w:tr w:rsidR="00995891" w:rsidTr="0073480F">
        <w:tc>
          <w:tcPr>
            <w:tcW w:w="1658" w:type="dxa"/>
          </w:tcPr>
          <w:p w:rsidR="00995891" w:rsidRDefault="00B778EF" w:rsidP="00490447">
            <w:r>
              <w:t xml:space="preserve">Photography – </w:t>
            </w:r>
            <w:r w:rsidR="00490447">
              <w:t xml:space="preserve">Use in </w:t>
            </w:r>
            <w:r>
              <w:t xml:space="preserve">Research </w:t>
            </w:r>
          </w:p>
        </w:tc>
        <w:tc>
          <w:tcPr>
            <w:tcW w:w="6022" w:type="dxa"/>
          </w:tcPr>
          <w:p w:rsidR="00995891" w:rsidRDefault="00490447" w:rsidP="00490447">
            <w:r>
              <w:t>Using photographs</w:t>
            </w:r>
            <w:r w:rsidR="0073480F">
              <w:t xml:space="preserve"> (or audio / video recordings)</w:t>
            </w:r>
            <w:r>
              <w:t xml:space="preserve"> in research may make it difficult to maintain the confidentiality of human subjects. </w:t>
            </w:r>
            <w:r w:rsidR="00342DED">
              <w:t>Consent/release form</w:t>
            </w:r>
            <w:r w:rsidR="0073480F">
              <w:t>s</w:t>
            </w:r>
            <w:r w:rsidR="00342DED">
              <w:t xml:space="preserve"> should be used.</w:t>
            </w:r>
          </w:p>
          <w:p w:rsidR="00342DED" w:rsidRDefault="00342DED" w:rsidP="00490447"/>
          <w:p w:rsidR="00342DED" w:rsidRDefault="00342DED" w:rsidP="00342DED">
            <w:r>
              <w:t xml:space="preserve">Permission for being recorded or photographed will normally be included in a consent form. If consent forms are not used, the elements of informed consent must still be presented to the subjects. </w:t>
            </w:r>
            <w:r w:rsidR="00AE78AF">
              <w:t xml:space="preserve">See Photography – Artistic above </w:t>
            </w:r>
          </w:p>
        </w:tc>
        <w:tc>
          <w:tcPr>
            <w:tcW w:w="2215" w:type="dxa"/>
          </w:tcPr>
          <w:p w:rsidR="00995891" w:rsidRDefault="00490447" w:rsidP="00490447">
            <w:pPr>
              <w:jc w:val="center"/>
            </w:pPr>
            <w:r>
              <w:t>Possibly</w:t>
            </w:r>
            <w:r w:rsidR="008F1B30">
              <w:t xml:space="preserve"> NHSR or Exemption or</w:t>
            </w:r>
          </w:p>
          <w:p w:rsidR="008F1B30" w:rsidRDefault="008F1B30" w:rsidP="00490447">
            <w:pPr>
              <w:jc w:val="center"/>
            </w:pPr>
            <w:r>
              <w:t>Expedited</w:t>
            </w:r>
          </w:p>
          <w:p w:rsidR="00AE78AF" w:rsidRDefault="00342DED" w:rsidP="00342DED">
            <w:r>
              <w:t>(d</w:t>
            </w:r>
            <w:r w:rsidR="00490447">
              <w:t>epends on RISKS</w:t>
            </w:r>
            <w:r>
              <w:t>)</w:t>
            </w:r>
          </w:p>
          <w:p w:rsidR="00AE78AF" w:rsidRDefault="00AE78AF" w:rsidP="00342DED"/>
          <w:p w:rsidR="00490447" w:rsidRDefault="00AE78AF" w:rsidP="00342DED">
            <w:r>
              <w:t>Signed consent for use of photos, audio/visual recordings recommended</w:t>
            </w:r>
            <w:r w:rsidR="00342DED">
              <w:t xml:space="preserve"> </w:t>
            </w:r>
            <w:r w:rsidR="008F1B30">
              <w:t>for all levels</w:t>
            </w:r>
          </w:p>
        </w:tc>
      </w:tr>
      <w:tr w:rsidR="00BC239C" w:rsidTr="0073480F">
        <w:tc>
          <w:tcPr>
            <w:tcW w:w="1658" w:type="dxa"/>
          </w:tcPr>
          <w:p w:rsidR="00BC239C" w:rsidRDefault="00BC239C" w:rsidP="00490447"/>
          <w:p w:rsidR="00BC239C" w:rsidRDefault="00BC239C" w:rsidP="00490447"/>
          <w:p w:rsidR="00BC239C" w:rsidRDefault="00BC239C" w:rsidP="00490447"/>
          <w:p w:rsidR="00BC239C" w:rsidRDefault="00BC239C" w:rsidP="00490447"/>
        </w:tc>
        <w:tc>
          <w:tcPr>
            <w:tcW w:w="6022" w:type="dxa"/>
          </w:tcPr>
          <w:p w:rsidR="00BC239C" w:rsidRDefault="00BC239C" w:rsidP="00490447"/>
        </w:tc>
        <w:tc>
          <w:tcPr>
            <w:tcW w:w="2215" w:type="dxa"/>
          </w:tcPr>
          <w:p w:rsidR="00BC239C" w:rsidRDefault="00BC239C" w:rsidP="00490447">
            <w:pPr>
              <w:jc w:val="center"/>
            </w:pPr>
          </w:p>
          <w:p w:rsidR="00BC239C" w:rsidRDefault="00BC239C" w:rsidP="00490447">
            <w:pPr>
              <w:jc w:val="center"/>
            </w:pPr>
          </w:p>
          <w:p w:rsidR="00BC239C" w:rsidRPr="00BC239C" w:rsidRDefault="00BC239C" w:rsidP="00490447">
            <w:pPr>
              <w:jc w:val="center"/>
              <w:rPr>
                <w:b/>
              </w:rPr>
            </w:pPr>
            <w:r w:rsidRPr="00BC239C">
              <w:rPr>
                <w:b/>
              </w:rPr>
              <w:t>Continued next page</w:t>
            </w:r>
          </w:p>
        </w:tc>
      </w:tr>
      <w:tr w:rsidR="00995891" w:rsidTr="0073480F">
        <w:tc>
          <w:tcPr>
            <w:tcW w:w="1658" w:type="dxa"/>
          </w:tcPr>
          <w:p w:rsidR="00995891" w:rsidRDefault="00490447">
            <w:r>
              <w:t>Documentary Film</w:t>
            </w:r>
          </w:p>
        </w:tc>
        <w:tc>
          <w:tcPr>
            <w:tcW w:w="6022" w:type="dxa"/>
          </w:tcPr>
          <w:p w:rsidR="003E236F" w:rsidRDefault="003E236F">
            <w:r>
              <w:t>Basic ethics of</w:t>
            </w:r>
            <w:r w:rsidR="00AE78AF">
              <w:t xml:space="preserve"> </w:t>
            </w:r>
            <w:r w:rsidRPr="003E236F">
              <w:t>doing no harm, protecting the vulnerable, and honoring the viewer’s trust.</w:t>
            </w:r>
            <w:r>
              <w:br/>
            </w:r>
          </w:p>
          <w:p w:rsidR="003E236F" w:rsidRDefault="003E236F">
            <w:r>
              <w:t xml:space="preserve">Consent and Release forms required. </w:t>
            </w:r>
            <w:r w:rsidRPr="00AE78AF">
              <w:rPr>
                <w:b/>
              </w:rPr>
              <w:t>Be sure to keep signed</w:t>
            </w:r>
            <w:r>
              <w:rPr>
                <w:b/>
              </w:rPr>
              <w:t xml:space="preserve"> forms.</w:t>
            </w:r>
          </w:p>
        </w:tc>
        <w:tc>
          <w:tcPr>
            <w:tcW w:w="2215" w:type="dxa"/>
          </w:tcPr>
          <w:p w:rsidR="00995891" w:rsidRDefault="003E236F" w:rsidP="00036F30">
            <w:pPr>
              <w:jc w:val="center"/>
            </w:pPr>
            <w:r>
              <w:t xml:space="preserve">NHSR </w:t>
            </w:r>
          </w:p>
        </w:tc>
      </w:tr>
      <w:tr w:rsidR="00995891" w:rsidTr="0073480F">
        <w:tc>
          <w:tcPr>
            <w:tcW w:w="1658" w:type="dxa"/>
          </w:tcPr>
          <w:p w:rsidR="00995891" w:rsidRDefault="00995891"/>
        </w:tc>
        <w:tc>
          <w:tcPr>
            <w:tcW w:w="6022" w:type="dxa"/>
          </w:tcPr>
          <w:p w:rsidR="00995891" w:rsidRDefault="00995891"/>
        </w:tc>
        <w:tc>
          <w:tcPr>
            <w:tcW w:w="2215" w:type="dxa"/>
          </w:tcPr>
          <w:p w:rsidR="00995891" w:rsidRDefault="00995891"/>
        </w:tc>
      </w:tr>
    </w:tbl>
    <w:p w:rsidR="00EF6EC3" w:rsidRDefault="00EF6EC3"/>
    <w:p w:rsidR="00F24CC2" w:rsidRDefault="00F24CC2"/>
    <w:p w:rsidR="00F24CC2" w:rsidRDefault="00F24CC2">
      <w:r>
        <w:t>Examples of Personally Identifiable Information</w:t>
      </w:r>
    </w:p>
    <w:p w:rsidR="00F24CC2" w:rsidRPr="00F24CC2" w:rsidRDefault="00036F30" w:rsidP="00F24CC2">
      <w:pPr>
        <w:numPr>
          <w:ilvl w:val="0"/>
          <w:numId w:val="1"/>
        </w:numPr>
        <w:shd w:val="clear" w:color="auto" w:fill="FFFFFF"/>
        <w:spacing w:before="100" w:beforeAutospacing="1" w:after="24" w:line="240" w:lineRule="auto"/>
        <w:ind w:left="384"/>
        <w:rPr>
          <w:rFonts w:ascii="Arial" w:hAnsi="Arial" w:cs="Arial"/>
          <w:sz w:val="21"/>
          <w:szCs w:val="21"/>
        </w:rPr>
      </w:pPr>
      <w:hyperlink r:id="rId12" w:tooltip="Full name" w:history="1">
        <w:r w:rsidR="00F24CC2" w:rsidRPr="00F24CC2">
          <w:rPr>
            <w:rStyle w:val="Hyperlink"/>
            <w:rFonts w:ascii="Arial" w:hAnsi="Arial" w:cs="Arial"/>
            <w:color w:val="auto"/>
            <w:sz w:val="21"/>
            <w:szCs w:val="21"/>
            <w:u w:val="none"/>
          </w:rPr>
          <w:t>Full name</w:t>
        </w:r>
      </w:hyperlink>
      <w:r w:rsidR="00F24CC2" w:rsidRPr="00F24CC2">
        <w:rPr>
          <w:rFonts w:ascii="Arial" w:hAnsi="Arial" w:cs="Arial"/>
          <w:sz w:val="21"/>
          <w:szCs w:val="21"/>
        </w:rPr>
        <w:t> (if not common)</w:t>
      </w:r>
    </w:p>
    <w:p w:rsidR="00F24CC2" w:rsidRPr="00F24CC2" w:rsidRDefault="00036F30" w:rsidP="00F24CC2">
      <w:pPr>
        <w:numPr>
          <w:ilvl w:val="0"/>
          <w:numId w:val="1"/>
        </w:numPr>
        <w:shd w:val="clear" w:color="auto" w:fill="FFFFFF"/>
        <w:spacing w:before="100" w:beforeAutospacing="1" w:after="24" w:line="240" w:lineRule="auto"/>
        <w:ind w:left="384"/>
        <w:rPr>
          <w:rFonts w:ascii="Arial" w:hAnsi="Arial" w:cs="Arial"/>
          <w:sz w:val="21"/>
          <w:szCs w:val="21"/>
        </w:rPr>
      </w:pPr>
      <w:hyperlink r:id="rId13" w:tooltip="Address (geography)" w:history="1">
        <w:r w:rsidR="00F24CC2" w:rsidRPr="00F24CC2">
          <w:rPr>
            <w:rStyle w:val="Hyperlink"/>
            <w:rFonts w:ascii="Arial" w:hAnsi="Arial" w:cs="Arial"/>
            <w:color w:val="auto"/>
            <w:sz w:val="21"/>
            <w:szCs w:val="21"/>
            <w:u w:val="none"/>
          </w:rPr>
          <w:t>Home address</w:t>
        </w:r>
      </w:hyperlink>
    </w:p>
    <w:p w:rsidR="00F24CC2" w:rsidRPr="00F24CC2" w:rsidRDefault="00036F30" w:rsidP="00F24CC2">
      <w:pPr>
        <w:numPr>
          <w:ilvl w:val="0"/>
          <w:numId w:val="1"/>
        </w:numPr>
        <w:shd w:val="clear" w:color="auto" w:fill="FFFFFF"/>
        <w:spacing w:before="100" w:beforeAutospacing="1" w:after="24" w:line="240" w:lineRule="auto"/>
        <w:ind w:left="384"/>
        <w:rPr>
          <w:rFonts w:ascii="Arial" w:hAnsi="Arial" w:cs="Arial"/>
          <w:sz w:val="21"/>
          <w:szCs w:val="21"/>
        </w:rPr>
      </w:pPr>
      <w:hyperlink r:id="rId14" w:tooltip="Email address" w:history="1">
        <w:r w:rsidR="00F24CC2" w:rsidRPr="00F24CC2">
          <w:rPr>
            <w:rStyle w:val="Hyperlink"/>
            <w:rFonts w:ascii="Arial" w:hAnsi="Arial" w:cs="Arial"/>
            <w:color w:val="auto"/>
            <w:sz w:val="21"/>
            <w:szCs w:val="21"/>
          </w:rPr>
          <w:t>Email address</w:t>
        </w:r>
      </w:hyperlink>
      <w:r w:rsidR="00F24CC2" w:rsidRPr="00F24CC2">
        <w:rPr>
          <w:rFonts w:ascii="Arial" w:hAnsi="Arial" w:cs="Arial"/>
          <w:sz w:val="21"/>
          <w:szCs w:val="21"/>
        </w:rPr>
        <w:t> (if private from an association/club membership, etc.)</w:t>
      </w:r>
    </w:p>
    <w:p w:rsidR="00F24CC2" w:rsidRPr="00F24CC2" w:rsidRDefault="00036F30" w:rsidP="00F24CC2">
      <w:pPr>
        <w:numPr>
          <w:ilvl w:val="0"/>
          <w:numId w:val="1"/>
        </w:numPr>
        <w:shd w:val="clear" w:color="auto" w:fill="FFFFFF"/>
        <w:spacing w:before="100" w:beforeAutospacing="1" w:after="24" w:line="240" w:lineRule="auto"/>
        <w:ind w:left="384"/>
        <w:rPr>
          <w:rFonts w:ascii="Arial" w:hAnsi="Arial" w:cs="Arial"/>
          <w:sz w:val="21"/>
          <w:szCs w:val="21"/>
        </w:rPr>
      </w:pPr>
      <w:hyperlink r:id="rId15" w:tooltip="National identification number" w:history="1">
        <w:r w:rsidR="00F24CC2" w:rsidRPr="00F24CC2">
          <w:rPr>
            <w:rStyle w:val="Hyperlink"/>
            <w:rFonts w:ascii="Arial" w:hAnsi="Arial" w:cs="Arial"/>
            <w:color w:val="auto"/>
            <w:sz w:val="21"/>
            <w:szCs w:val="21"/>
            <w:u w:val="none"/>
          </w:rPr>
          <w:t>National identification number</w:t>
        </w:r>
      </w:hyperlink>
    </w:p>
    <w:p w:rsidR="00F24CC2" w:rsidRPr="00F24CC2" w:rsidRDefault="00036F30" w:rsidP="00F24CC2">
      <w:pPr>
        <w:numPr>
          <w:ilvl w:val="0"/>
          <w:numId w:val="1"/>
        </w:numPr>
        <w:shd w:val="clear" w:color="auto" w:fill="FFFFFF"/>
        <w:spacing w:before="100" w:beforeAutospacing="1" w:after="24" w:line="240" w:lineRule="auto"/>
        <w:ind w:left="384"/>
        <w:rPr>
          <w:rFonts w:ascii="Arial" w:hAnsi="Arial" w:cs="Arial"/>
          <w:sz w:val="21"/>
          <w:szCs w:val="21"/>
        </w:rPr>
      </w:pPr>
      <w:hyperlink r:id="rId16" w:tooltip="Passport" w:history="1">
        <w:r w:rsidR="00F24CC2" w:rsidRPr="00F24CC2">
          <w:rPr>
            <w:rStyle w:val="Hyperlink"/>
            <w:rFonts w:ascii="Arial" w:hAnsi="Arial" w:cs="Arial"/>
            <w:color w:val="auto"/>
            <w:sz w:val="21"/>
            <w:szCs w:val="21"/>
            <w:u w:val="none"/>
          </w:rPr>
          <w:t>Passport</w:t>
        </w:r>
      </w:hyperlink>
      <w:r w:rsidR="00F24CC2" w:rsidRPr="00F24CC2">
        <w:rPr>
          <w:rFonts w:ascii="Arial" w:hAnsi="Arial" w:cs="Arial"/>
          <w:sz w:val="21"/>
          <w:szCs w:val="21"/>
        </w:rPr>
        <w:t> number</w:t>
      </w:r>
    </w:p>
    <w:p w:rsidR="00F24CC2" w:rsidRPr="00F24CC2" w:rsidRDefault="00036F30" w:rsidP="00F24CC2">
      <w:pPr>
        <w:numPr>
          <w:ilvl w:val="0"/>
          <w:numId w:val="1"/>
        </w:numPr>
        <w:shd w:val="clear" w:color="auto" w:fill="FFFFFF"/>
        <w:spacing w:before="100" w:beforeAutospacing="1" w:after="24" w:line="240" w:lineRule="auto"/>
        <w:ind w:left="384"/>
        <w:rPr>
          <w:rFonts w:ascii="Arial" w:hAnsi="Arial" w:cs="Arial"/>
          <w:sz w:val="21"/>
          <w:szCs w:val="21"/>
        </w:rPr>
      </w:pPr>
      <w:hyperlink r:id="rId17" w:tooltip="IP address" w:history="1">
        <w:r w:rsidR="00F24CC2" w:rsidRPr="00F24CC2">
          <w:rPr>
            <w:rStyle w:val="Hyperlink"/>
            <w:rFonts w:ascii="Arial" w:hAnsi="Arial" w:cs="Arial"/>
            <w:color w:val="auto"/>
            <w:sz w:val="21"/>
            <w:szCs w:val="21"/>
            <w:u w:val="none"/>
          </w:rPr>
          <w:t>IP address</w:t>
        </w:r>
      </w:hyperlink>
      <w:r w:rsidR="00F24CC2" w:rsidRPr="00F24CC2">
        <w:rPr>
          <w:rFonts w:ascii="Arial" w:hAnsi="Arial" w:cs="Arial"/>
          <w:sz w:val="21"/>
          <w:szCs w:val="21"/>
        </w:rPr>
        <w:t> (when linked, but not PII by itself in US)</w:t>
      </w:r>
    </w:p>
    <w:p w:rsidR="00F24CC2" w:rsidRPr="00F24CC2" w:rsidRDefault="00036F30" w:rsidP="00F24CC2">
      <w:pPr>
        <w:numPr>
          <w:ilvl w:val="0"/>
          <w:numId w:val="1"/>
        </w:numPr>
        <w:shd w:val="clear" w:color="auto" w:fill="FFFFFF"/>
        <w:spacing w:before="100" w:beforeAutospacing="1" w:after="24" w:line="240" w:lineRule="auto"/>
        <w:ind w:left="384"/>
        <w:rPr>
          <w:rFonts w:ascii="Arial" w:hAnsi="Arial" w:cs="Arial"/>
          <w:sz w:val="21"/>
          <w:szCs w:val="21"/>
        </w:rPr>
      </w:pPr>
      <w:hyperlink r:id="rId18" w:tooltip="Vehicle registration plate" w:history="1">
        <w:r w:rsidR="00F24CC2" w:rsidRPr="00F24CC2">
          <w:rPr>
            <w:rStyle w:val="Hyperlink"/>
            <w:rFonts w:ascii="Arial" w:hAnsi="Arial" w:cs="Arial"/>
            <w:color w:val="auto"/>
            <w:sz w:val="21"/>
            <w:szCs w:val="21"/>
            <w:u w:val="none"/>
          </w:rPr>
          <w:t>Vehicle registration plate</w:t>
        </w:r>
      </w:hyperlink>
      <w:r w:rsidR="00F24CC2" w:rsidRPr="00F24CC2">
        <w:rPr>
          <w:rFonts w:ascii="Arial" w:hAnsi="Arial" w:cs="Arial"/>
          <w:sz w:val="21"/>
          <w:szCs w:val="21"/>
        </w:rPr>
        <w:t> number</w:t>
      </w:r>
    </w:p>
    <w:p w:rsidR="00F24CC2" w:rsidRPr="00F24CC2" w:rsidRDefault="00036F30" w:rsidP="00F24CC2">
      <w:pPr>
        <w:numPr>
          <w:ilvl w:val="0"/>
          <w:numId w:val="1"/>
        </w:numPr>
        <w:shd w:val="clear" w:color="auto" w:fill="FFFFFF"/>
        <w:spacing w:before="100" w:beforeAutospacing="1" w:after="24" w:line="240" w:lineRule="auto"/>
        <w:ind w:left="384"/>
        <w:rPr>
          <w:rFonts w:ascii="Arial" w:hAnsi="Arial" w:cs="Arial"/>
          <w:sz w:val="21"/>
          <w:szCs w:val="21"/>
        </w:rPr>
      </w:pPr>
      <w:hyperlink r:id="rId19" w:tooltip="Driver's license" w:history="1">
        <w:r w:rsidR="00F24CC2" w:rsidRPr="00F24CC2">
          <w:rPr>
            <w:rStyle w:val="Hyperlink"/>
            <w:rFonts w:ascii="Arial" w:hAnsi="Arial" w:cs="Arial"/>
            <w:color w:val="auto"/>
            <w:sz w:val="21"/>
            <w:szCs w:val="21"/>
            <w:u w:val="none"/>
          </w:rPr>
          <w:t>Driver's license</w:t>
        </w:r>
      </w:hyperlink>
      <w:r w:rsidR="00F24CC2" w:rsidRPr="00F24CC2">
        <w:rPr>
          <w:rFonts w:ascii="Arial" w:hAnsi="Arial" w:cs="Arial"/>
          <w:sz w:val="21"/>
          <w:szCs w:val="21"/>
        </w:rPr>
        <w:t> number</w:t>
      </w:r>
    </w:p>
    <w:p w:rsidR="00F24CC2" w:rsidRPr="00F24CC2" w:rsidRDefault="00036F30" w:rsidP="00F24CC2">
      <w:pPr>
        <w:numPr>
          <w:ilvl w:val="0"/>
          <w:numId w:val="1"/>
        </w:numPr>
        <w:shd w:val="clear" w:color="auto" w:fill="FFFFFF"/>
        <w:spacing w:before="100" w:beforeAutospacing="1" w:after="24" w:line="240" w:lineRule="auto"/>
        <w:ind w:left="384"/>
        <w:rPr>
          <w:rFonts w:ascii="Arial" w:hAnsi="Arial" w:cs="Arial"/>
          <w:sz w:val="21"/>
          <w:szCs w:val="21"/>
        </w:rPr>
      </w:pPr>
      <w:hyperlink r:id="rId20" w:tooltip="Face" w:history="1">
        <w:r w:rsidR="00F24CC2" w:rsidRPr="00F24CC2">
          <w:rPr>
            <w:rStyle w:val="Hyperlink"/>
            <w:rFonts w:ascii="Arial" w:hAnsi="Arial" w:cs="Arial"/>
            <w:color w:val="auto"/>
            <w:sz w:val="21"/>
            <w:szCs w:val="21"/>
            <w:u w:val="none"/>
          </w:rPr>
          <w:t>Face</w:t>
        </w:r>
      </w:hyperlink>
      <w:r w:rsidR="00F24CC2" w:rsidRPr="00F24CC2">
        <w:rPr>
          <w:rFonts w:ascii="Arial" w:hAnsi="Arial" w:cs="Arial"/>
          <w:sz w:val="21"/>
          <w:szCs w:val="21"/>
        </w:rPr>
        <w:t>, </w:t>
      </w:r>
      <w:hyperlink r:id="rId21" w:tooltip="Fingerprint" w:history="1">
        <w:r w:rsidR="00F24CC2" w:rsidRPr="00F24CC2">
          <w:rPr>
            <w:rStyle w:val="Hyperlink"/>
            <w:rFonts w:ascii="Arial" w:hAnsi="Arial" w:cs="Arial"/>
            <w:color w:val="auto"/>
            <w:sz w:val="21"/>
            <w:szCs w:val="21"/>
            <w:u w:val="none"/>
          </w:rPr>
          <w:t>fingerprints</w:t>
        </w:r>
      </w:hyperlink>
      <w:r w:rsidR="00F24CC2" w:rsidRPr="00F24CC2">
        <w:rPr>
          <w:rFonts w:ascii="Arial" w:hAnsi="Arial" w:cs="Arial"/>
          <w:sz w:val="21"/>
          <w:szCs w:val="21"/>
        </w:rPr>
        <w:t>, or </w:t>
      </w:r>
      <w:hyperlink r:id="rId22" w:tooltip="Handwriting" w:history="1">
        <w:r w:rsidR="00F24CC2" w:rsidRPr="00F24CC2">
          <w:rPr>
            <w:rStyle w:val="Hyperlink"/>
            <w:rFonts w:ascii="Arial" w:hAnsi="Arial" w:cs="Arial"/>
            <w:color w:val="auto"/>
            <w:sz w:val="21"/>
            <w:szCs w:val="21"/>
            <w:u w:val="none"/>
          </w:rPr>
          <w:t>handwriting</w:t>
        </w:r>
      </w:hyperlink>
    </w:p>
    <w:p w:rsidR="00F24CC2" w:rsidRPr="00F24CC2" w:rsidRDefault="00036F30" w:rsidP="00F24CC2">
      <w:pPr>
        <w:numPr>
          <w:ilvl w:val="0"/>
          <w:numId w:val="1"/>
        </w:numPr>
        <w:shd w:val="clear" w:color="auto" w:fill="FFFFFF"/>
        <w:spacing w:before="100" w:beforeAutospacing="1" w:after="24" w:line="240" w:lineRule="auto"/>
        <w:ind w:left="384"/>
        <w:rPr>
          <w:rFonts w:ascii="Arial" w:hAnsi="Arial" w:cs="Arial"/>
          <w:sz w:val="21"/>
          <w:szCs w:val="21"/>
        </w:rPr>
      </w:pPr>
      <w:hyperlink r:id="rId23" w:tooltip="Credit card number" w:history="1">
        <w:r w:rsidR="00F24CC2" w:rsidRPr="00F24CC2">
          <w:rPr>
            <w:rStyle w:val="Hyperlink"/>
            <w:rFonts w:ascii="Arial" w:hAnsi="Arial" w:cs="Arial"/>
            <w:color w:val="auto"/>
            <w:sz w:val="21"/>
            <w:szCs w:val="21"/>
            <w:u w:val="none"/>
          </w:rPr>
          <w:t>Credit card numbers</w:t>
        </w:r>
      </w:hyperlink>
    </w:p>
    <w:p w:rsidR="00F24CC2" w:rsidRPr="00F24CC2" w:rsidRDefault="00036F30" w:rsidP="00F24CC2">
      <w:pPr>
        <w:numPr>
          <w:ilvl w:val="0"/>
          <w:numId w:val="1"/>
        </w:numPr>
        <w:shd w:val="clear" w:color="auto" w:fill="FFFFFF"/>
        <w:spacing w:before="100" w:beforeAutospacing="1" w:after="24" w:line="240" w:lineRule="auto"/>
        <w:ind w:left="384"/>
        <w:rPr>
          <w:rFonts w:ascii="Arial" w:hAnsi="Arial" w:cs="Arial"/>
          <w:sz w:val="21"/>
          <w:szCs w:val="21"/>
        </w:rPr>
      </w:pPr>
      <w:hyperlink r:id="rId24" w:tooltip="Digital identity" w:history="1">
        <w:r w:rsidR="00F24CC2" w:rsidRPr="00F24CC2">
          <w:rPr>
            <w:rStyle w:val="Hyperlink"/>
            <w:rFonts w:ascii="Arial" w:hAnsi="Arial" w:cs="Arial"/>
            <w:color w:val="auto"/>
            <w:sz w:val="21"/>
            <w:szCs w:val="21"/>
            <w:u w:val="none"/>
          </w:rPr>
          <w:t>Digital identity</w:t>
        </w:r>
      </w:hyperlink>
    </w:p>
    <w:p w:rsidR="00F24CC2" w:rsidRPr="00F24CC2" w:rsidRDefault="00036F30" w:rsidP="00F24CC2">
      <w:pPr>
        <w:numPr>
          <w:ilvl w:val="0"/>
          <w:numId w:val="1"/>
        </w:numPr>
        <w:shd w:val="clear" w:color="auto" w:fill="FFFFFF"/>
        <w:spacing w:before="100" w:beforeAutospacing="1" w:after="24" w:line="240" w:lineRule="auto"/>
        <w:ind w:left="384"/>
        <w:rPr>
          <w:rFonts w:ascii="Arial" w:hAnsi="Arial" w:cs="Arial"/>
          <w:sz w:val="21"/>
          <w:szCs w:val="21"/>
        </w:rPr>
      </w:pPr>
      <w:hyperlink r:id="rId25" w:tooltip="Date of birth" w:history="1">
        <w:r w:rsidR="00F24CC2" w:rsidRPr="00F24CC2">
          <w:rPr>
            <w:rStyle w:val="Hyperlink"/>
            <w:rFonts w:ascii="Arial" w:hAnsi="Arial" w:cs="Arial"/>
            <w:color w:val="auto"/>
            <w:sz w:val="21"/>
            <w:szCs w:val="21"/>
            <w:u w:val="none"/>
          </w:rPr>
          <w:t>Date of birth</w:t>
        </w:r>
      </w:hyperlink>
    </w:p>
    <w:p w:rsidR="00F24CC2" w:rsidRPr="00F24CC2" w:rsidRDefault="00036F30" w:rsidP="00F24CC2">
      <w:pPr>
        <w:numPr>
          <w:ilvl w:val="0"/>
          <w:numId w:val="1"/>
        </w:numPr>
        <w:shd w:val="clear" w:color="auto" w:fill="FFFFFF"/>
        <w:spacing w:before="100" w:beforeAutospacing="1" w:after="24" w:line="240" w:lineRule="auto"/>
        <w:ind w:left="384"/>
        <w:rPr>
          <w:rFonts w:ascii="Arial" w:hAnsi="Arial" w:cs="Arial"/>
          <w:sz w:val="21"/>
          <w:szCs w:val="21"/>
        </w:rPr>
      </w:pPr>
      <w:hyperlink r:id="rId26" w:tooltip="Birthplace" w:history="1">
        <w:r w:rsidR="00F24CC2" w:rsidRPr="00F24CC2">
          <w:rPr>
            <w:rStyle w:val="Hyperlink"/>
            <w:rFonts w:ascii="Arial" w:hAnsi="Arial" w:cs="Arial"/>
            <w:color w:val="auto"/>
            <w:sz w:val="21"/>
            <w:szCs w:val="21"/>
            <w:u w:val="none"/>
          </w:rPr>
          <w:t>Birthplace</w:t>
        </w:r>
      </w:hyperlink>
    </w:p>
    <w:p w:rsidR="00F24CC2" w:rsidRPr="00F24CC2" w:rsidRDefault="00036F30" w:rsidP="00F24CC2">
      <w:pPr>
        <w:numPr>
          <w:ilvl w:val="0"/>
          <w:numId w:val="1"/>
        </w:numPr>
        <w:shd w:val="clear" w:color="auto" w:fill="FFFFFF"/>
        <w:spacing w:before="100" w:beforeAutospacing="1" w:after="24" w:line="240" w:lineRule="auto"/>
        <w:ind w:left="384"/>
        <w:rPr>
          <w:rFonts w:ascii="Arial" w:hAnsi="Arial" w:cs="Arial"/>
          <w:sz w:val="21"/>
          <w:szCs w:val="21"/>
        </w:rPr>
      </w:pPr>
      <w:hyperlink r:id="rId27" w:tooltip="Genetics" w:history="1">
        <w:r w:rsidR="00F24CC2" w:rsidRPr="00F24CC2">
          <w:rPr>
            <w:rStyle w:val="Hyperlink"/>
            <w:rFonts w:ascii="Arial" w:hAnsi="Arial" w:cs="Arial"/>
            <w:color w:val="auto"/>
            <w:sz w:val="21"/>
            <w:szCs w:val="21"/>
            <w:u w:val="none"/>
          </w:rPr>
          <w:t>Genetic information</w:t>
        </w:r>
      </w:hyperlink>
    </w:p>
    <w:p w:rsidR="00F24CC2" w:rsidRPr="00F24CC2" w:rsidRDefault="00036F30" w:rsidP="00F24CC2">
      <w:pPr>
        <w:numPr>
          <w:ilvl w:val="0"/>
          <w:numId w:val="1"/>
        </w:numPr>
        <w:shd w:val="clear" w:color="auto" w:fill="FFFFFF"/>
        <w:spacing w:before="100" w:beforeAutospacing="1" w:after="24" w:line="240" w:lineRule="auto"/>
        <w:ind w:left="384"/>
        <w:rPr>
          <w:rFonts w:ascii="Arial" w:hAnsi="Arial" w:cs="Arial"/>
          <w:sz w:val="21"/>
          <w:szCs w:val="21"/>
        </w:rPr>
      </w:pPr>
      <w:hyperlink r:id="rId28" w:tooltip="Telephone number" w:history="1">
        <w:r w:rsidR="00F24CC2" w:rsidRPr="00F24CC2">
          <w:rPr>
            <w:rStyle w:val="Hyperlink"/>
            <w:rFonts w:ascii="Arial" w:hAnsi="Arial" w:cs="Arial"/>
            <w:color w:val="auto"/>
            <w:sz w:val="21"/>
            <w:szCs w:val="21"/>
            <w:u w:val="none"/>
          </w:rPr>
          <w:t>Telephone number</w:t>
        </w:r>
      </w:hyperlink>
    </w:p>
    <w:p w:rsidR="00F24CC2" w:rsidRPr="00F24CC2" w:rsidRDefault="00036F30" w:rsidP="00F24CC2">
      <w:pPr>
        <w:numPr>
          <w:ilvl w:val="0"/>
          <w:numId w:val="1"/>
        </w:numPr>
        <w:shd w:val="clear" w:color="auto" w:fill="FFFFFF"/>
        <w:spacing w:before="100" w:beforeAutospacing="1" w:after="24" w:line="240" w:lineRule="auto"/>
        <w:ind w:left="384"/>
        <w:rPr>
          <w:rFonts w:ascii="Arial" w:hAnsi="Arial" w:cs="Arial"/>
          <w:sz w:val="21"/>
          <w:szCs w:val="21"/>
        </w:rPr>
      </w:pPr>
      <w:hyperlink r:id="rId29" w:tooltip="User (computing)" w:history="1">
        <w:r w:rsidR="00F24CC2" w:rsidRPr="00F24CC2">
          <w:rPr>
            <w:rStyle w:val="Hyperlink"/>
            <w:rFonts w:ascii="Arial" w:hAnsi="Arial" w:cs="Arial"/>
            <w:color w:val="auto"/>
            <w:sz w:val="21"/>
            <w:szCs w:val="21"/>
            <w:u w:val="none"/>
          </w:rPr>
          <w:t>Login name</w:t>
        </w:r>
      </w:hyperlink>
      <w:r w:rsidR="00F24CC2" w:rsidRPr="00F24CC2">
        <w:rPr>
          <w:rFonts w:ascii="Arial" w:hAnsi="Arial" w:cs="Arial"/>
          <w:sz w:val="21"/>
          <w:szCs w:val="21"/>
        </w:rPr>
        <w:t>, screen name, </w:t>
      </w:r>
      <w:hyperlink r:id="rId30" w:tooltip="Nickname" w:history="1">
        <w:r w:rsidR="00F24CC2" w:rsidRPr="00F24CC2">
          <w:rPr>
            <w:rStyle w:val="Hyperlink"/>
            <w:rFonts w:ascii="Arial" w:hAnsi="Arial" w:cs="Arial"/>
            <w:color w:val="auto"/>
            <w:sz w:val="21"/>
            <w:szCs w:val="21"/>
            <w:u w:val="none"/>
          </w:rPr>
          <w:t>nickname</w:t>
        </w:r>
      </w:hyperlink>
      <w:r w:rsidR="00F24CC2" w:rsidRPr="00F24CC2">
        <w:rPr>
          <w:rFonts w:ascii="Arial" w:hAnsi="Arial" w:cs="Arial"/>
          <w:sz w:val="21"/>
          <w:szCs w:val="21"/>
        </w:rPr>
        <w:t>, or </w:t>
      </w:r>
      <w:hyperlink r:id="rId31" w:tooltip="Pseudonym" w:history="1">
        <w:r w:rsidR="00F24CC2" w:rsidRPr="00F24CC2">
          <w:rPr>
            <w:rStyle w:val="Hyperlink"/>
            <w:rFonts w:ascii="Arial" w:hAnsi="Arial" w:cs="Arial"/>
            <w:color w:val="auto"/>
            <w:sz w:val="21"/>
            <w:szCs w:val="21"/>
            <w:u w:val="none"/>
          </w:rPr>
          <w:t>handle</w:t>
        </w:r>
      </w:hyperlink>
    </w:p>
    <w:p w:rsidR="00F24CC2" w:rsidRPr="00F24CC2" w:rsidRDefault="00F24CC2" w:rsidP="00F24CC2">
      <w:pPr>
        <w:pStyle w:val="NormalWeb"/>
        <w:shd w:val="clear" w:color="auto" w:fill="FFFFFF"/>
        <w:spacing w:before="120" w:beforeAutospacing="0" w:after="120" w:afterAutospacing="0"/>
        <w:rPr>
          <w:rFonts w:ascii="Arial" w:hAnsi="Arial" w:cs="Arial"/>
          <w:sz w:val="21"/>
          <w:szCs w:val="21"/>
        </w:rPr>
      </w:pPr>
      <w:r w:rsidRPr="00F24CC2">
        <w:rPr>
          <w:rFonts w:ascii="Arial" w:hAnsi="Arial" w:cs="Arial"/>
          <w:sz w:val="21"/>
          <w:szCs w:val="21"/>
        </w:rPr>
        <w:t>The following are less often used to distinguish individual identity, because they are traits shared by many people. However, they are potentially PII, because they may be combined with other personal information to identify an individual.</w:t>
      </w:r>
    </w:p>
    <w:p w:rsidR="00F24CC2" w:rsidRPr="00F24CC2" w:rsidRDefault="00F24CC2" w:rsidP="00F24CC2">
      <w:pPr>
        <w:numPr>
          <w:ilvl w:val="0"/>
          <w:numId w:val="2"/>
        </w:numPr>
        <w:shd w:val="clear" w:color="auto" w:fill="FFFFFF"/>
        <w:spacing w:before="100" w:beforeAutospacing="1" w:after="24" w:line="240" w:lineRule="auto"/>
        <w:ind w:left="384"/>
        <w:rPr>
          <w:rFonts w:ascii="Arial" w:hAnsi="Arial" w:cs="Arial"/>
          <w:sz w:val="21"/>
          <w:szCs w:val="21"/>
        </w:rPr>
      </w:pPr>
      <w:r w:rsidRPr="00F24CC2">
        <w:rPr>
          <w:rFonts w:ascii="Arial" w:hAnsi="Arial" w:cs="Arial"/>
          <w:sz w:val="21"/>
          <w:szCs w:val="21"/>
        </w:rPr>
        <w:t>First or last name, if common</w:t>
      </w:r>
    </w:p>
    <w:p w:rsidR="00F24CC2" w:rsidRPr="00F24CC2" w:rsidRDefault="00F24CC2" w:rsidP="00F24CC2">
      <w:pPr>
        <w:numPr>
          <w:ilvl w:val="0"/>
          <w:numId w:val="2"/>
        </w:numPr>
        <w:shd w:val="clear" w:color="auto" w:fill="FFFFFF"/>
        <w:spacing w:before="100" w:beforeAutospacing="1" w:after="24" w:line="240" w:lineRule="auto"/>
        <w:ind w:left="384"/>
        <w:rPr>
          <w:rFonts w:ascii="Arial" w:hAnsi="Arial" w:cs="Arial"/>
          <w:sz w:val="21"/>
          <w:szCs w:val="21"/>
        </w:rPr>
      </w:pPr>
      <w:r w:rsidRPr="00F24CC2">
        <w:rPr>
          <w:rFonts w:ascii="Arial" w:hAnsi="Arial" w:cs="Arial"/>
          <w:sz w:val="21"/>
          <w:szCs w:val="21"/>
        </w:rPr>
        <w:t>Country, state, </w:t>
      </w:r>
      <w:hyperlink r:id="rId32" w:tooltip="Postcode" w:history="1">
        <w:r w:rsidRPr="00F24CC2">
          <w:rPr>
            <w:rStyle w:val="Hyperlink"/>
            <w:rFonts w:ascii="Arial" w:hAnsi="Arial" w:cs="Arial"/>
            <w:color w:val="auto"/>
            <w:sz w:val="21"/>
            <w:szCs w:val="21"/>
            <w:u w:val="none"/>
          </w:rPr>
          <w:t>postcode</w:t>
        </w:r>
      </w:hyperlink>
      <w:r w:rsidRPr="00F24CC2">
        <w:rPr>
          <w:rFonts w:ascii="Arial" w:hAnsi="Arial" w:cs="Arial"/>
          <w:sz w:val="21"/>
          <w:szCs w:val="21"/>
        </w:rPr>
        <w:t> or city of residence</w:t>
      </w:r>
    </w:p>
    <w:p w:rsidR="00F24CC2" w:rsidRPr="00F24CC2" w:rsidRDefault="00F24CC2" w:rsidP="00F24CC2">
      <w:pPr>
        <w:numPr>
          <w:ilvl w:val="0"/>
          <w:numId w:val="2"/>
        </w:numPr>
        <w:shd w:val="clear" w:color="auto" w:fill="FFFFFF"/>
        <w:spacing w:before="100" w:beforeAutospacing="1" w:after="24" w:line="240" w:lineRule="auto"/>
        <w:ind w:left="384"/>
        <w:rPr>
          <w:rFonts w:ascii="Arial" w:hAnsi="Arial" w:cs="Arial"/>
          <w:sz w:val="21"/>
          <w:szCs w:val="21"/>
        </w:rPr>
      </w:pPr>
      <w:r w:rsidRPr="00F24CC2">
        <w:rPr>
          <w:rFonts w:ascii="Arial" w:hAnsi="Arial" w:cs="Arial"/>
          <w:sz w:val="21"/>
          <w:szCs w:val="21"/>
        </w:rPr>
        <w:t>Age, especially if non-specific</w:t>
      </w:r>
    </w:p>
    <w:p w:rsidR="00F24CC2" w:rsidRPr="00F24CC2" w:rsidRDefault="00036F30" w:rsidP="00F24CC2">
      <w:pPr>
        <w:numPr>
          <w:ilvl w:val="0"/>
          <w:numId w:val="2"/>
        </w:numPr>
        <w:shd w:val="clear" w:color="auto" w:fill="FFFFFF"/>
        <w:spacing w:before="100" w:beforeAutospacing="1" w:after="24" w:line="240" w:lineRule="auto"/>
        <w:ind w:left="384"/>
        <w:rPr>
          <w:rFonts w:ascii="Arial" w:hAnsi="Arial" w:cs="Arial"/>
          <w:sz w:val="21"/>
          <w:szCs w:val="21"/>
        </w:rPr>
      </w:pPr>
      <w:hyperlink r:id="rId33" w:tooltip="Gender" w:history="1">
        <w:r w:rsidR="00F24CC2" w:rsidRPr="00F24CC2">
          <w:rPr>
            <w:rStyle w:val="Hyperlink"/>
            <w:rFonts w:ascii="Arial" w:hAnsi="Arial" w:cs="Arial"/>
            <w:color w:val="auto"/>
            <w:sz w:val="21"/>
            <w:szCs w:val="21"/>
            <w:u w:val="none"/>
          </w:rPr>
          <w:t>Gender</w:t>
        </w:r>
      </w:hyperlink>
      <w:r w:rsidR="00F24CC2" w:rsidRPr="00F24CC2">
        <w:rPr>
          <w:rFonts w:ascii="Arial" w:hAnsi="Arial" w:cs="Arial"/>
          <w:sz w:val="21"/>
          <w:szCs w:val="21"/>
        </w:rPr>
        <w:t> or race</w:t>
      </w:r>
    </w:p>
    <w:p w:rsidR="00F24CC2" w:rsidRPr="00F24CC2" w:rsidRDefault="00F24CC2" w:rsidP="00F24CC2">
      <w:pPr>
        <w:numPr>
          <w:ilvl w:val="0"/>
          <w:numId w:val="2"/>
        </w:numPr>
        <w:shd w:val="clear" w:color="auto" w:fill="FFFFFF"/>
        <w:spacing w:before="100" w:beforeAutospacing="1" w:after="24" w:line="240" w:lineRule="auto"/>
        <w:ind w:left="384"/>
        <w:rPr>
          <w:rFonts w:ascii="Arial" w:hAnsi="Arial" w:cs="Arial"/>
          <w:sz w:val="21"/>
          <w:szCs w:val="21"/>
        </w:rPr>
      </w:pPr>
      <w:r w:rsidRPr="00F24CC2">
        <w:rPr>
          <w:rFonts w:ascii="Arial" w:hAnsi="Arial" w:cs="Arial"/>
          <w:sz w:val="21"/>
          <w:szCs w:val="21"/>
        </w:rPr>
        <w:t>Name of the school they attend or workplace</w:t>
      </w:r>
    </w:p>
    <w:p w:rsidR="00F24CC2" w:rsidRPr="00F24CC2" w:rsidRDefault="00F24CC2" w:rsidP="00F24CC2">
      <w:pPr>
        <w:numPr>
          <w:ilvl w:val="0"/>
          <w:numId w:val="2"/>
        </w:numPr>
        <w:shd w:val="clear" w:color="auto" w:fill="FFFFFF"/>
        <w:spacing w:before="100" w:beforeAutospacing="1" w:after="24" w:line="240" w:lineRule="auto"/>
        <w:ind w:left="384"/>
        <w:rPr>
          <w:rFonts w:ascii="Arial" w:hAnsi="Arial" w:cs="Arial"/>
          <w:sz w:val="21"/>
          <w:szCs w:val="21"/>
        </w:rPr>
      </w:pPr>
      <w:r w:rsidRPr="00F24CC2">
        <w:rPr>
          <w:rFonts w:ascii="Arial" w:hAnsi="Arial" w:cs="Arial"/>
          <w:sz w:val="21"/>
          <w:szCs w:val="21"/>
        </w:rPr>
        <w:t>Grades, salary, or job position</w:t>
      </w:r>
    </w:p>
    <w:p w:rsidR="00F24CC2" w:rsidRPr="00F24CC2" w:rsidRDefault="00036F30" w:rsidP="00F24CC2">
      <w:pPr>
        <w:numPr>
          <w:ilvl w:val="0"/>
          <w:numId w:val="2"/>
        </w:numPr>
        <w:shd w:val="clear" w:color="auto" w:fill="FFFFFF"/>
        <w:spacing w:before="100" w:beforeAutospacing="1" w:after="24" w:line="240" w:lineRule="auto"/>
        <w:ind w:left="384"/>
        <w:rPr>
          <w:rFonts w:ascii="Arial" w:hAnsi="Arial" w:cs="Arial"/>
          <w:sz w:val="21"/>
          <w:szCs w:val="21"/>
        </w:rPr>
      </w:pPr>
      <w:hyperlink r:id="rId34" w:tooltip="Criminal record" w:history="1">
        <w:r w:rsidR="00F24CC2" w:rsidRPr="00F24CC2">
          <w:rPr>
            <w:rStyle w:val="Hyperlink"/>
            <w:rFonts w:ascii="Arial" w:hAnsi="Arial" w:cs="Arial"/>
            <w:color w:val="auto"/>
            <w:sz w:val="21"/>
            <w:szCs w:val="21"/>
            <w:u w:val="none"/>
          </w:rPr>
          <w:t>Criminal record</w:t>
        </w:r>
      </w:hyperlink>
    </w:p>
    <w:p w:rsidR="00F24CC2" w:rsidRPr="00F24CC2" w:rsidRDefault="00036F30" w:rsidP="00F24CC2">
      <w:pPr>
        <w:numPr>
          <w:ilvl w:val="0"/>
          <w:numId w:val="2"/>
        </w:numPr>
        <w:shd w:val="clear" w:color="auto" w:fill="FFFFFF"/>
        <w:spacing w:before="100" w:beforeAutospacing="1" w:after="24" w:line="240" w:lineRule="auto"/>
        <w:ind w:left="384"/>
        <w:rPr>
          <w:rFonts w:ascii="Arial" w:hAnsi="Arial" w:cs="Arial"/>
          <w:sz w:val="21"/>
          <w:szCs w:val="21"/>
        </w:rPr>
      </w:pPr>
      <w:hyperlink r:id="rId35" w:tooltip="Web cookie" w:history="1">
        <w:r w:rsidR="00F24CC2" w:rsidRPr="00F24CC2">
          <w:rPr>
            <w:rStyle w:val="Hyperlink"/>
            <w:rFonts w:ascii="Arial" w:hAnsi="Arial" w:cs="Arial"/>
            <w:color w:val="auto"/>
            <w:sz w:val="21"/>
            <w:szCs w:val="21"/>
            <w:u w:val="none"/>
          </w:rPr>
          <w:t>Web cookie</w:t>
        </w:r>
      </w:hyperlink>
    </w:p>
    <w:p w:rsidR="00F24CC2" w:rsidRDefault="00F24CC2">
      <w:r>
        <w:t xml:space="preserve"> </w:t>
      </w:r>
    </w:p>
    <w:sectPr w:rsidR="00F24CC2" w:rsidSect="003E236F">
      <w:headerReference w:type="default" r:id="rId36"/>
      <w:pgSz w:w="12240" w:h="15840"/>
      <w:pgMar w:top="1440" w:right="90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AA8" w:rsidRDefault="005A7AA8" w:rsidP="008622AD">
      <w:pPr>
        <w:spacing w:after="0" w:line="240" w:lineRule="auto"/>
      </w:pPr>
      <w:r>
        <w:separator/>
      </w:r>
    </w:p>
  </w:endnote>
  <w:endnote w:type="continuationSeparator" w:id="0">
    <w:p w:rsidR="005A7AA8" w:rsidRDefault="005A7AA8" w:rsidP="00862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AA8" w:rsidRDefault="005A7AA8" w:rsidP="008622AD">
      <w:pPr>
        <w:spacing w:after="0" w:line="240" w:lineRule="auto"/>
      </w:pPr>
      <w:r>
        <w:separator/>
      </w:r>
    </w:p>
  </w:footnote>
  <w:footnote w:type="continuationSeparator" w:id="0">
    <w:p w:rsidR="005A7AA8" w:rsidRDefault="005A7AA8" w:rsidP="008622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2AD" w:rsidRDefault="008622AD">
    <w:pPr>
      <w:pStyle w:val="Header"/>
    </w:pPr>
    <w:r>
      <w:t xml:space="preserve">Community Engaged Learning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F5931"/>
    <w:multiLevelType w:val="multilevel"/>
    <w:tmpl w:val="F5BC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D0415F"/>
    <w:multiLevelType w:val="multilevel"/>
    <w:tmpl w:val="56C2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C3"/>
    <w:rsid w:val="00026936"/>
    <w:rsid w:val="00036F30"/>
    <w:rsid w:val="001526B6"/>
    <w:rsid w:val="00342DED"/>
    <w:rsid w:val="003E236F"/>
    <w:rsid w:val="00490447"/>
    <w:rsid w:val="005A7AA8"/>
    <w:rsid w:val="0069607A"/>
    <w:rsid w:val="0073480F"/>
    <w:rsid w:val="008622AD"/>
    <w:rsid w:val="008F1B30"/>
    <w:rsid w:val="00995891"/>
    <w:rsid w:val="00A559FB"/>
    <w:rsid w:val="00AE78AF"/>
    <w:rsid w:val="00B778EF"/>
    <w:rsid w:val="00BC239C"/>
    <w:rsid w:val="00C93495"/>
    <w:rsid w:val="00CB50E5"/>
    <w:rsid w:val="00DF6A77"/>
    <w:rsid w:val="00E81DB1"/>
    <w:rsid w:val="00E85E7D"/>
    <w:rsid w:val="00EF6EC3"/>
    <w:rsid w:val="00F24CC2"/>
    <w:rsid w:val="00F72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1F5F8-DACC-4B18-93FF-5C9271FD2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526B6"/>
    <w:pPr>
      <w:framePr w:w="7920" w:h="1980" w:hRule="exact" w:hSpace="180" w:wrap="auto" w:hAnchor="page" w:xAlign="center" w:yAlign="bottom"/>
      <w:spacing w:after="0" w:line="240" w:lineRule="auto"/>
      <w:ind w:left="2880"/>
    </w:pPr>
    <w:rPr>
      <w:rFonts w:eastAsiaTheme="majorEastAsia"/>
    </w:rPr>
  </w:style>
  <w:style w:type="table" w:styleId="TableGrid">
    <w:name w:val="Table Grid"/>
    <w:basedOn w:val="TableNormal"/>
    <w:uiPriority w:val="39"/>
    <w:rsid w:val="00EF6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59FB"/>
    <w:rPr>
      <w:color w:val="0563C1" w:themeColor="hyperlink"/>
      <w:u w:val="single"/>
    </w:rPr>
  </w:style>
  <w:style w:type="paragraph" w:styleId="Header">
    <w:name w:val="header"/>
    <w:basedOn w:val="Normal"/>
    <w:link w:val="HeaderChar"/>
    <w:uiPriority w:val="99"/>
    <w:unhideWhenUsed/>
    <w:rsid w:val="00862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2AD"/>
  </w:style>
  <w:style w:type="paragraph" w:styleId="Footer">
    <w:name w:val="footer"/>
    <w:basedOn w:val="Normal"/>
    <w:link w:val="FooterChar"/>
    <w:uiPriority w:val="99"/>
    <w:unhideWhenUsed/>
    <w:rsid w:val="00862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2AD"/>
  </w:style>
  <w:style w:type="character" w:styleId="Strong">
    <w:name w:val="Strong"/>
    <w:basedOn w:val="DefaultParagraphFont"/>
    <w:uiPriority w:val="22"/>
    <w:qFormat/>
    <w:rsid w:val="00CB50E5"/>
    <w:rPr>
      <w:b/>
      <w:bCs/>
    </w:rPr>
  </w:style>
  <w:style w:type="paragraph" w:styleId="BalloonText">
    <w:name w:val="Balloon Text"/>
    <w:basedOn w:val="Normal"/>
    <w:link w:val="BalloonTextChar"/>
    <w:uiPriority w:val="99"/>
    <w:semiHidden/>
    <w:unhideWhenUsed/>
    <w:rsid w:val="008F1B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B30"/>
    <w:rPr>
      <w:rFonts w:ascii="Segoe UI" w:hAnsi="Segoe UI" w:cs="Segoe UI"/>
      <w:sz w:val="18"/>
      <w:szCs w:val="18"/>
    </w:rPr>
  </w:style>
  <w:style w:type="paragraph" w:styleId="NormalWeb">
    <w:name w:val="Normal (Web)"/>
    <w:basedOn w:val="Normal"/>
    <w:uiPriority w:val="99"/>
    <w:semiHidden/>
    <w:unhideWhenUsed/>
    <w:rsid w:val="00F24CC2"/>
    <w:pPr>
      <w:spacing w:before="100" w:beforeAutospacing="1" w:after="100" w:afterAutospacing="1" w:line="240" w:lineRule="auto"/>
    </w:pPr>
    <w:rPr>
      <w:rFonts w:eastAsia="Times New Roman" w:cs="Times New Roman"/>
    </w:rPr>
  </w:style>
  <w:style w:type="character" w:styleId="FollowedHyperlink">
    <w:name w:val="FollowedHyperlink"/>
    <w:basedOn w:val="DefaultParagraphFont"/>
    <w:uiPriority w:val="99"/>
    <w:semiHidden/>
    <w:unhideWhenUsed/>
    <w:rsid w:val="00036F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32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Address_(geography)" TargetMode="External"/><Relationship Id="rId18" Type="http://schemas.openxmlformats.org/officeDocument/2006/relationships/hyperlink" Target="https://en.wikipedia.org/wiki/Vehicle_registration_plate" TargetMode="External"/><Relationship Id="rId26" Type="http://schemas.openxmlformats.org/officeDocument/2006/relationships/hyperlink" Target="https://en.wikipedia.org/wiki/Birthplace" TargetMode="External"/><Relationship Id="rId21" Type="http://schemas.openxmlformats.org/officeDocument/2006/relationships/hyperlink" Target="https://en.wikipedia.org/wiki/Fingerprint" TargetMode="External"/><Relationship Id="rId34" Type="http://schemas.openxmlformats.org/officeDocument/2006/relationships/hyperlink" Target="https://en.wikipedia.org/wiki/Criminal_record" TargetMode="External"/><Relationship Id="rId7" Type="http://schemas.openxmlformats.org/officeDocument/2006/relationships/hyperlink" Target="http://www.kenyon.edu/directories/offices-services/office-of-the-provost/conducting-research-at-kenyon/citi-programs-for-research-education/" TargetMode="External"/><Relationship Id="rId12" Type="http://schemas.openxmlformats.org/officeDocument/2006/relationships/hyperlink" Target="https://en.wikipedia.org/wiki/Full_name" TargetMode="External"/><Relationship Id="rId17" Type="http://schemas.openxmlformats.org/officeDocument/2006/relationships/hyperlink" Target="https://en.wikipedia.org/wiki/IP_address" TargetMode="External"/><Relationship Id="rId25" Type="http://schemas.openxmlformats.org/officeDocument/2006/relationships/hyperlink" Target="https://en.wikipedia.org/wiki/Date_of_birth" TargetMode="External"/><Relationship Id="rId33" Type="http://schemas.openxmlformats.org/officeDocument/2006/relationships/hyperlink" Target="https://en.wikipedia.org/wiki/Gender"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Passport" TargetMode="External"/><Relationship Id="rId20" Type="http://schemas.openxmlformats.org/officeDocument/2006/relationships/hyperlink" Target="https://en.wikipedia.org/wiki/Face" TargetMode="External"/><Relationship Id="rId29" Type="http://schemas.openxmlformats.org/officeDocument/2006/relationships/hyperlink" Target="https://en.wikipedia.org/wiki/User_(comput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pa.com/files/pdfs/modelreleasewhitepaper.pdf" TargetMode="External"/><Relationship Id="rId24" Type="http://schemas.openxmlformats.org/officeDocument/2006/relationships/hyperlink" Target="https://en.wikipedia.org/wiki/Digital_identity" TargetMode="External"/><Relationship Id="rId32" Type="http://schemas.openxmlformats.org/officeDocument/2006/relationships/hyperlink" Target="https://en.wikipedia.org/wiki/Postcod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n.wikipedia.org/wiki/National_identification_number" TargetMode="External"/><Relationship Id="rId23" Type="http://schemas.openxmlformats.org/officeDocument/2006/relationships/hyperlink" Target="https://en.wikipedia.org/wiki/Credit_card_number" TargetMode="External"/><Relationship Id="rId28" Type="http://schemas.openxmlformats.org/officeDocument/2006/relationships/hyperlink" Target="https://en.wikipedia.org/wiki/Telephone_number" TargetMode="External"/><Relationship Id="rId36" Type="http://schemas.openxmlformats.org/officeDocument/2006/relationships/header" Target="header1.xml"/><Relationship Id="rId10" Type="http://schemas.openxmlformats.org/officeDocument/2006/relationships/hyperlink" Target="http://www.spj.org/ethicscode.asp" TargetMode="External"/><Relationship Id="rId19" Type="http://schemas.openxmlformats.org/officeDocument/2006/relationships/hyperlink" Target="https://en.wikipedia.org/wiki/Driver%27s_license" TargetMode="External"/><Relationship Id="rId31" Type="http://schemas.openxmlformats.org/officeDocument/2006/relationships/hyperlink" Target="https://en.wikipedia.org/wiki/Pseudonym" TargetMode="External"/><Relationship Id="rId4" Type="http://schemas.openxmlformats.org/officeDocument/2006/relationships/webSettings" Target="webSettings.xml"/><Relationship Id="rId9" Type="http://schemas.openxmlformats.org/officeDocument/2006/relationships/hyperlink" Target="https://www.kenyon.edu/offices-and-services/office-of-the-provost/grants-fellowships/institutional-research-compliance/institutional-review-board-irb/oral-history-projects/" TargetMode="External"/><Relationship Id="rId14" Type="http://schemas.openxmlformats.org/officeDocument/2006/relationships/hyperlink" Target="https://en.wikipedia.org/wiki/Email_address" TargetMode="External"/><Relationship Id="rId22" Type="http://schemas.openxmlformats.org/officeDocument/2006/relationships/hyperlink" Target="https://en.wikipedia.org/wiki/Handwriting" TargetMode="External"/><Relationship Id="rId27" Type="http://schemas.openxmlformats.org/officeDocument/2006/relationships/hyperlink" Target="https://en.wikipedia.org/wiki/Genetics" TargetMode="External"/><Relationship Id="rId30" Type="http://schemas.openxmlformats.org/officeDocument/2006/relationships/hyperlink" Target="https://en.wikipedia.org/wiki/Nickname" TargetMode="External"/><Relationship Id="rId35" Type="http://schemas.openxmlformats.org/officeDocument/2006/relationships/hyperlink" Target="https://en.wikipedia.org/wiki/Web_cookie" TargetMode="External"/><Relationship Id="rId8" Type="http://schemas.openxmlformats.org/officeDocument/2006/relationships/hyperlink" Target="http://www.oralhistory.org/about/principles-and-practice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Jami Peelle</cp:lastModifiedBy>
  <cp:revision>2</cp:revision>
  <cp:lastPrinted>2018-01-05T20:20:00Z</cp:lastPrinted>
  <dcterms:created xsi:type="dcterms:W3CDTF">2020-09-30T17:32:00Z</dcterms:created>
  <dcterms:modified xsi:type="dcterms:W3CDTF">2020-09-30T17:32:00Z</dcterms:modified>
</cp:coreProperties>
</file>