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8F" w:rsidRPr="002B618F" w:rsidRDefault="002B618F" w:rsidP="002B618F">
      <w:pPr>
        <w:shd w:val="clear" w:color="auto" w:fill="FFFFFF"/>
        <w:spacing w:line="240" w:lineRule="auto"/>
        <w:rPr>
          <w:rFonts w:eastAsia="Times New Roman"/>
          <w:color w:val="000000"/>
        </w:rPr>
      </w:pPr>
      <w:r w:rsidRPr="002B618F">
        <w:rPr>
          <w:rFonts w:eastAsia="Times New Roman"/>
          <w:color w:val="000000"/>
        </w:rPr>
        <w:t>Dear Faculty, </w:t>
      </w:r>
      <w:bookmarkStart w:id="0" w:name="_GoBack"/>
      <w:bookmarkEnd w:id="0"/>
    </w:p>
    <w:p w:rsidR="002B618F" w:rsidRPr="002B618F" w:rsidRDefault="002B618F" w:rsidP="002B618F">
      <w:pPr>
        <w:shd w:val="clear" w:color="auto" w:fill="FFFFFF"/>
        <w:spacing w:line="240" w:lineRule="auto"/>
        <w:rPr>
          <w:rFonts w:eastAsia="Times New Roman"/>
          <w:color w:val="000000"/>
        </w:rPr>
      </w:pPr>
    </w:p>
    <w:p w:rsidR="002B618F" w:rsidRPr="002B618F" w:rsidRDefault="002B618F" w:rsidP="002B618F">
      <w:pPr>
        <w:shd w:val="clear" w:color="auto" w:fill="FFFFFF"/>
        <w:spacing w:line="240" w:lineRule="auto"/>
        <w:rPr>
          <w:rFonts w:eastAsia="Times New Roman"/>
          <w:color w:val="000000"/>
        </w:rPr>
      </w:pPr>
      <w:r w:rsidRPr="002B618F">
        <w:rPr>
          <w:rFonts w:eastAsia="Times New Roman"/>
          <w:color w:val="000000"/>
        </w:rPr>
        <w:t>Many of you graciously participated in the Faculty Survey of Student Engagement (FSSE) last spring just as our first-years and seniors were participating in the National Survey of Student Engagement (NSSE). We've recently received both sets of results and have posted NSSE results here: </w:t>
      </w:r>
      <w:hyperlink r:id="rId7" w:tgtFrame="_blank" w:history="1">
        <w:r w:rsidRPr="002B618F">
          <w:rPr>
            <w:rFonts w:eastAsia="Times New Roman"/>
            <w:color w:val="1155CC"/>
            <w:u w:val="single"/>
          </w:rPr>
          <w:t>http://bit.ly/1mh7oDJ</w:t>
        </w:r>
      </w:hyperlink>
      <w:r w:rsidRPr="002B618F">
        <w:rPr>
          <w:rFonts w:eastAsia="Times New Roman"/>
          <w:color w:val="000000"/>
        </w:rPr>
        <w:t> FSSE results did not come back in quite the same digestible format as the NSSE results, so we are still working on creating some data files that are publicly shareable. We will post these results as soon as we are able. </w:t>
      </w:r>
    </w:p>
    <w:p w:rsidR="002B618F" w:rsidRPr="002B618F" w:rsidRDefault="002B618F" w:rsidP="002B618F">
      <w:pPr>
        <w:shd w:val="clear" w:color="auto" w:fill="FFFFFF"/>
        <w:spacing w:line="240" w:lineRule="auto"/>
        <w:rPr>
          <w:rFonts w:eastAsia="Times New Roman"/>
          <w:color w:val="000000"/>
        </w:rPr>
      </w:pPr>
    </w:p>
    <w:p w:rsidR="002B618F" w:rsidRPr="002B618F" w:rsidRDefault="002B618F" w:rsidP="002B618F">
      <w:pPr>
        <w:shd w:val="clear" w:color="auto" w:fill="FFFFFF"/>
        <w:spacing w:line="240" w:lineRule="auto"/>
        <w:rPr>
          <w:rFonts w:eastAsia="Times New Roman"/>
          <w:color w:val="222222"/>
        </w:rPr>
      </w:pPr>
      <w:r w:rsidRPr="002B618F">
        <w:rPr>
          <w:rFonts w:eastAsia="Times New Roman"/>
          <w:color w:val="000000"/>
        </w:rPr>
        <w:t>Since few of you are likely to have the time to look through all the data, staff from the Office of Institutional Research will send out emails throughout the semester to highlight some of the more interesting results. As you're settling into the rhythm of the semester, I thought you may be interested in getting a peek at</w:t>
      </w:r>
      <w:r w:rsidRPr="002B618F">
        <w:rPr>
          <w:rFonts w:eastAsia="Times New Roman"/>
          <w:b/>
          <w:bCs/>
          <w:color w:val="000000"/>
        </w:rPr>
        <w:t> how students say they spend their time</w:t>
      </w:r>
      <w:r w:rsidRPr="002B618F">
        <w:rPr>
          <w:rFonts w:eastAsia="Times New Roman"/>
          <w:color w:val="000000"/>
        </w:rPr>
        <w:t> as compared to </w:t>
      </w:r>
      <w:r w:rsidRPr="002B618F">
        <w:rPr>
          <w:rFonts w:eastAsia="Times New Roman"/>
          <w:b/>
          <w:bCs/>
          <w:color w:val="000000"/>
        </w:rPr>
        <w:t>how faculty think students spend their time</w:t>
      </w:r>
      <w:r w:rsidRPr="002B618F">
        <w:rPr>
          <w:rFonts w:eastAsia="Times New Roman"/>
          <w:color w:val="000000"/>
        </w:rPr>
        <w:t>:</w:t>
      </w:r>
    </w:p>
    <w:p w:rsidR="002B618F" w:rsidRPr="002B618F" w:rsidRDefault="002B618F" w:rsidP="002B618F">
      <w:pPr>
        <w:shd w:val="clear" w:color="auto" w:fill="FFFFFF"/>
        <w:spacing w:line="240" w:lineRule="auto"/>
        <w:rPr>
          <w:rFonts w:eastAsia="Times New Roman"/>
          <w:color w:val="222222"/>
        </w:rPr>
      </w:pPr>
    </w:p>
    <w:p w:rsidR="002B618F" w:rsidRPr="002B618F" w:rsidRDefault="002B618F" w:rsidP="002B618F">
      <w:pPr>
        <w:shd w:val="clear" w:color="auto" w:fill="FFFFFF"/>
        <w:spacing w:line="240" w:lineRule="auto"/>
        <w:rPr>
          <w:rFonts w:eastAsia="Times New Roman"/>
          <w:color w:val="222222"/>
        </w:rPr>
      </w:pPr>
      <w:r>
        <w:rPr>
          <w:noProof/>
        </w:rPr>
        <w:drawing>
          <wp:inline distT="0" distB="0" distL="0" distR="0" wp14:anchorId="2A958F70" wp14:editId="63F184BC">
            <wp:extent cx="5943600" cy="4147820"/>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618F" w:rsidRPr="002B618F" w:rsidRDefault="002B618F" w:rsidP="002B618F">
      <w:pPr>
        <w:shd w:val="clear" w:color="auto" w:fill="FFFFFF"/>
        <w:spacing w:line="240" w:lineRule="auto"/>
        <w:rPr>
          <w:rFonts w:eastAsia="Times New Roman"/>
          <w:color w:val="222222"/>
        </w:rPr>
      </w:pPr>
    </w:p>
    <w:p w:rsidR="002B618F" w:rsidRPr="002B618F" w:rsidRDefault="002B618F" w:rsidP="002B618F">
      <w:pPr>
        <w:shd w:val="clear" w:color="auto" w:fill="FFFFFF"/>
        <w:spacing w:line="240" w:lineRule="auto"/>
        <w:rPr>
          <w:rFonts w:eastAsia="Times New Roman"/>
          <w:color w:val="222222"/>
        </w:rPr>
      </w:pPr>
      <w:r w:rsidRPr="002B618F">
        <w:rPr>
          <w:rFonts w:eastAsia="Times New Roman"/>
          <w:color w:val="000000"/>
        </w:rPr>
        <w:t xml:space="preserve">​Generally, </w:t>
      </w:r>
      <w:proofErr w:type="gramStart"/>
      <w:r w:rsidRPr="002B618F">
        <w:rPr>
          <w:rFonts w:eastAsia="Times New Roman"/>
          <w:color w:val="000000"/>
        </w:rPr>
        <w:t>faculty are</w:t>
      </w:r>
      <w:proofErr w:type="gramEnd"/>
      <w:r w:rsidRPr="002B618F">
        <w:rPr>
          <w:rFonts w:eastAsia="Times New Roman"/>
          <w:color w:val="000000"/>
        </w:rPr>
        <w:t xml:space="preserve"> fairly accurate at estimating how students are spending their time, but there are some areas where faculty perception and student accounts diverge. Most notably, only 11% of faculty believed students to spend at least 16 hours a week on co-curricular activities; however, more than one-fifth (21%) and one-quarter (27%) of first years and seniors, respectively, indicated that they spent at least 16 hours per week on these activities.  Faculty estimates of students spending at least 16 hours preparing for class (59%) were quite close to what first-years reported (64%), yet significantly more seniors reported spending 16 or more hours a week preparing for class (76%) than faculty estimated. The low percentages in the remaining categories probably aren't surprising to many of you given the traditional nature of our student body and our residential campus but they do serve to put some numbers behind your experiences with students. </w:t>
      </w:r>
    </w:p>
    <w:p w:rsidR="002B618F" w:rsidRPr="002B618F" w:rsidRDefault="002B618F" w:rsidP="002B618F">
      <w:pPr>
        <w:shd w:val="clear" w:color="auto" w:fill="FFFFFF"/>
        <w:spacing w:line="240" w:lineRule="auto"/>
        <w:rPr>
          <w:rFonts w:eastAsia="Times New Roman"/>
          <w:color w:val="222222"/>
        </w:rPr>
      </w:pPr>
    </w:p>
    <w:p w:rsidR="002B618F" w:rsidRPr="002B618F" w:rsidRDefault="002B618F" w:rsidP="002B618F">
      <w:pPr>
        <w:shd w:val="clear" w:color="auto" w:fill="FFFFFF"/>
        <w:spacing w:line="240" w:lineRule="auto"/>
        <w:rPr>
          <w:rFonts w:eastAsia="Times New Roman"/>
          <w:color w:val="222222"/>
        </w:rPr>
      </w:pPr>
      <w:r w:rsidRPr="002B618F">
        <w:rPr>
          <w:rFonts w:eastAsia="Times New Roman"/>
          <w:color w:val="000000"/>
        </w:rPr>
        <w:lastRenderedPageBreak/>
        <w:t>Please let me know if you have any questions about this or any NSSE data. </w:t>
      </w:r>
    </w:p>
    <w:p w:rsidR="002B618F" w:rsidRPr="002B618F" w:rsidRDefault="002B618F" w:rsidP="002B618F">
      <w:pPr>
        <w:shd w:val="clear" w:color="auto" w:fill="FFFFFF"/>
        <w:spacing w:line="240" w:lineRule="auto"/>
        <w:rPr>
          <w:rFonts w:eastAsia="Times New Roman"/>
          <w:color w:val="222222"/>
        </w:rPr>
      </w:pPr>
      <w:r w:rsidRPr="002B618F">
        <w:rPr>
          <w:rFonts w:eastAsia="Times New Roman"/>
          <w:color w:val="000000"/>
        </w:rPr>
        <w:t>Best, </w:t>
      </w:r>
    </w:p>
    <w:p w:rsidR="002B618F" w:rsidRPr="002B618F" w:rsidRDefault="002B618F" w:rsidP="002B618F">
      <w:pPr>
        <w:shd w:val="clear" w:color="auto" w:fill="FFFFFF"/>
        <w:spacing w:line="240" w:lineRule="auto"/>
        <w:rPr>
          <w:rFonts w:eastAsia="Times New Roman"/>
          <w:color w:val="222222"/>
        </w:rPr>
      </w:pPr>
      <w:r w:rsidRPr="002B618F">
        <w:rPr>
          <w:rFonts w:eastAsia="Times New Roman"/>
          <w:color w:val="000000"/>
        </w:rPr>
        <w:t>Erika</w:t>
      </w:r>
    </w:p>
    <w:p w:rsidR="002B618F" w:rsidRPr="002B618F" w:rsidRDefault="002B618F" w:rsidP="002B618F">
      <w:pPr>
        <w:shd w:val="clear" w:color="auto" w:fill="FFFFFF"/>
        <w:spacing w:line="240" w:lineRule="auto"/>
        <w:rPr>
          <w:rFonts w:eastAsia="Times New Roman"/>
          <w:color w:val="222222"/>
        </w:rPr>
      </w:pPr>
    </w:p>
    <w:p w:rsidR="002B618F" w:rsidRPr="002B618F" w:rsidRDefault="002B618F" w:rsidP="002B618F">
      <w:pPr>
        <w:shd w:val="clear" w:color="auto" w:fill="FFFFFF"/>
        <w:spacing w:line="240" w:lineRule="auto"/>
        <w:rPr>
          <w:rFonts w:eastAsia="Times New Roman"/>
          <w:color w:val="222222"/>
        </w:rPr>
      </w:pPr>
      <w:r w:rsidRPr="002B618F">
        <w:rPr>
          <w:rFonts w:eastAsia="Times New Roman"/>
          <w:color w:val="000000"/>
        </w:rPr>
        <w:t>Erika M. Farfan</w:t>
      </w:r>
    </w:p>
    <w:p w:rsidR="002B618F" w:rsidRPr="002B618F" w:rsidRDefault="002B618F" w:rsidP="002B618F">
      <w:pPr>
        <w:shd w:val="clear" w:color="auto" w:fill="FFFFFF"/>
        <w:spacing w:line="240" w:lineRule="auto"/>
        <w:rPr>
          <w:rFonts w:eastAsia="Times New Roman"/>
          <w:color w:val="222222"/>
        </w:rPr>
      </w:pPr>
      <w:r w:rsidRPr="002B618F">
        <w:rPr>
          <w:rFonts w:eastAsia="Times New Roman"/>
          <w:color w:val="000000"/>
        </w:rPr>
        <w:t>Director of Institutional Research</w:t>
      </w:r>
    </w:p>
    <w:p w:rsidR="002B618F" w:rsidRPr="002B618F" w:rsidRDefault="002B618F" w:rsidP="002B618F">
      <w:pPr>
        <w:shd w:val="clear" w:color="auto" w:fill="FFFFFF"/>
        <w:spacing w:line="240" w:lineRule="auto"/>
        <w:rPr>
          <w:rFonts w:eastAsia="Times New Roman"/>
          <w:color w:val="222222"/>
        </w:rPr>
      </w:pPr>
      <w:r w:rsidRPr="002B618F">
        <w:rPr>
          <w:rFonts w:eastAsia="Times New Roman"/>
          <w:color w:val="000000"/>
        </w:rPr>
        <w:t>Chalmers Rm. 202</w:t>
      </w:r>
    </w:p>
    <w:p w:rsidR="002B618F" w:rsidRPr="002B618F" w:rsidRDefault="002B618F" w:rsidP="002B618F">
      <w:pPr>
        <w:shd w:val="clear" w:color="auto" w:fill="FFFFFF"/>
        <w:spacing w:line="240" w:lineRule="auto"/>
        <w:rPr>
          <w:rFonts w:eastAsia="Times New Roman"/>
          <w:color w:val="222222"/>
        </w:rPr>
      </w:pPr>
      <w:r w:rsidRPr="002B618F">
        <w:rPr>
          <w:rFonts w:eastAsia="Times New Roman"/>
          <w:color w:val="000000"/>
        </w:rPr>
        <w:t>Kenyon College</w:t>
      </w:r>
    </w:p>
    <w:p w:rsidR="002B618F" w:rsidRPr="002B618F" w:rsidRDefault="002B618F" w:rsidP="002B618F">
      <w:pPr>
        <w:shd w:val="clear" w:color="auto" w:fill="FFFFFF"/>
        <w:spacing w:line="240" w:lineRule="auto"/>
        <w:rPr>
          <w:rFonts w:eastAsia="Times New Roman"/>
          <w:color w:val="222222"/>
        </w:rPr>
      </w:pPr>
      <w:hyperlink r:id="rId9" w:tgtFrame="_blank" w:history="1">
        <w:r w:rsidRPr="002B618F">
          <w:rPr>
            <w:rFonts w:eastAsia="Times New Roman"/>
            <w:color w:val="1155CC"/>
            <w:u w:val="single"/>
          </w:rPr>
          <w:t>740.427.5571</w:t>
        </w:r>
      </w:hyperlink>
    </w:p>
    <w:p w:rsidR="002B618F" w:rsidRPr="002B618F" w:rsidRDefault="002B618F" w:rsidP="002B618F">
      <w:pPr>
        <w:shd w:val="clear" w:color="auto" w:fill="FFFFFF"/>
        <w:spacing w:line="240" w:lineRule="auto"/>
        <w:rPr>
          <w:rFonts w:eastAsia="Times New Roman"/>
          <w:color w:val="222222"/>
        </w:rPr>
      </w:pPr>
      <w:hyperlink r:id="rId10" w:tgtFrame="_blank" w:history="1">
        <w:r w:rsidRPr="002B618F">
          <w:rPr>
            <w:rFonts w:eastAsia="Times New Roman"/>
            <w:color w:val="000000"/>
            <w:u w:val="single"/>
          </w:rPr>
          <w:t>farfane@kenyon.edu</w:t>
        </w:r>
      </w:hyperlink>
    </w:p>
    <w:p w:rsidR="002B618F" w:rsidRPr="002B618F" w:rsidRDefault="002B618F" w:rsidP="002B618F">
      <w:pPr>
        <w:shd w:val="clear" w:color="auto" w:fill="FFFFFF"/>
        <w:spacing w:line="240" w:lineRule="auto"/>
        <w:rPr>
          <w:rFonts w:eastAsia="Times New Roman"/>
          <w:color w:val="222222"/>
        </w:rPr>
      </w:pPr>
      <w:hyperlink r:id="rId11" w:tgtFrame="_blank" w:history="1">
        <w:r w:rsidRPr="002B618F">
          <w:rPr>
            <w:rFonts w:eastAsia="Times New Roman"/>
            <w:color w:val="000000"/>
            <w:u w:val="single"/>
          </w:rPr>
          <w:t>http://www.kenyon.edu/directories/offices-services/institutional-research/</w:t>
        </w:r>
      </w:hyperlink>
    </w:p>
    <w:p w:rsidR="002B618F" w:rsidRPr="002B618F" w:rsidRDefault="002B618F" w:rsidP="002B618F">
      <w:pPr>
        <w:shd w:val="clear" w:color="auto" w:fill="FFFFFF"/>
        <w:spacing w:line="240" w:lineRule="auto"/>
        <w:rPr>
          <w:rFonts w:eastAsia="Times New Roman"/>
          <w:color w:val="222222"/>
        </w:rPr>
      </w:pPr>
      <w:hyperlink r:id="rId12" w:tgtFrame="_blank" w:history="1">
        <w:r w:rsidRPr="002B618F">
          <w:rPr>
            <w:rFonts w:eastAsia="Times New Roman"/>
            <w:color w:val="000000"/>
            <w:u w:val="single"/>
          </w:rPr>
          <w:t>https://twitter.com/KenyonIR</w:t>
        </w:r>
      </w:hyperlink>
    </w:p>
    <w:p w:rsidR="005B76EC" w:rsidRDefault="005B76EC"/>
    <w:sectPr w:rsidR="005B76E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8F" w:rsidRDefault="002B618F" w:rsidP="002B618F">
      <w:pPr>
        <w:spacing w:line="240" w:lineRule="auto"/>
      </w:pPr>
      <w:r>
        <w:separator/>
      </w:r>
    </w:p>
  </w:endnote>
  <w:endnote w:type="continuationSeparator" w:id="0">
    <w:p w:rsidR="002B618F" w:rsidRDefault="002B618F" w:rsidP="002B6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8F" w:rsidRDefault="002B618F" w:rsidP="002B618F">
      <w:pPr>
        <w:spacing w:line="240" w:lineRule="auto"/>
      </w:pPr>
      <w:r>
        <w:separator/>
      </w:r>
    </w:p>
  </w:footnote>
  <w:footnote w:type="continuationSeparator" w:id="0">
    <w:p w:rsidR="002B618F" w:rsidRDefault="002B618F" w:rsidP="002B61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8F" w:rsidRDefault="002B618F">
    <w:pPr>
      <w:pStyle w:val="Header"/>
    </w:pPr>
    <w:r>
      <w:tab/>
    </w:r>
    <w:r>
      <w:tab/>
      <w:t>September 15,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8F"/>
    <w:rsid w:val="002B618F"/>
    <w:rsid w:val="005B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618F"/>
    <w:rPr>
      <w:color w:val="0000FF"/>
      <w:u w:val="single"/>
    </w:rPr>
  </w:style>
  <w:style w:type="paragraph" w:styleId="BalloonText">
    <w:name w:val="Balloon Text"/>
    <w:basedOn w:val="Normal"/>
    <w:link w:val="BalloonTextChar"/>
    <w:uiPriority w:val="99"/>
    <w:semiHidden/>
    <w:unhideWhenUsed/>
    <w:rsid w:val="002B61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18F"/>
    <w:rPr>
      <w:rFonts w:ascii="Tahoma" w:hAnsi="Tahoma" w:cs="Tahoma"/>
      <w:sz w:val="16"/>
      <w:szCs w:val="16"/>
    </w:rPr>
  </w:style>
  <w:style w:type="paragraph" w:styleId="Header">
    <w:name w:val="header"/>
    <w:basedOn w:val="Normal"/>
    <w:link w:val="HeaderChar"/>
    <w:uiPriority w:val="99"/>
    <w:unhideWhenUsed/>
    <w:rsid w:val="002B618F"/>
    <w:pPr>
      <w:tabs>
        <w:tab w:val="center" w:pos="4680"/>
        <w:tab w:val="right" w:pos="9360"/>
      </w:tabs>
      <w:spacing w:line="240" w:lineRule="auto"/>
    </w:pPr>
  </w:style>
  <w:style w:type="character" w:customStyle="1" w:styleId="HeaderChar">
    <w:name w:val="Header Char"/>
    <w:basedOn w:val="DefaultParagraphFont"/>
    <w:link w:val="Header"/>
    <w:uiPriority w:val="99"/>
    <w:rsid w:val="002B618F"/>
  </w:style>
  <w:style w:type="paragraph" w:styleId="Footer">
    <w:name w:val="footer"/>
    <w:basedOn w:val="Normal"/>
    <w:link w:val="FooterChar"/>
    <w:uiPriority w:val="99"/>
    <w:unhideWhenUsed/>
    <w:rsid w:val="002B618F"/>
    <w:pPr>
      <w:tabs>
        <w:tab w:val="center" w:pos="4680"/>
        <w:tab w:val="right" w:pos="9360"/>
      </w:tabs>
      <w:spacing w:line="240" w:lineRule="auto"/>
    </w:pPr>
  </w:style>
  <w:style w:type="character" w:customStyle="1" w:styleId="FooterChar">
    <w:name w:val="Footer Char"/>
    <w:basedOn w:val="DefaultParagraphFont"/>
    <w:link w:val="Footer"/>
    <w:uiPriority w:val="99"/>
    <w:rsid w:val="002B6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618F"/>
    <w:rPr>
      <w:color w:val="0000FF"/>
      <w:u w:val="single"/>
    </w:rPr>
  </w:style>
  <w:style w:type="paragraph" w:styleId="BalloonText">
    <w:name w:val="Balloon Text"/>
    <w:basedOn w:val="Normal"/>
    <w:link w:val="BalloonTextChar"/>
    <w:uiPriority w:val="99"/>
    <w:semiHidden/>
    <w:unhideWhenUsed/>
    <w:rsid w:val="002B61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18F"/>
    <w:rPr>
      <w:rFonts w:ascii="Tahoma" w:hAnsi="Tahoma" w:cs="Tahoma"/>
      <w:sz w:val="16"/>
      <w:szCs w:val="16"/>
    </w:rPr>
  </w:style>
  <w:style w:type="paragraph" w:styleId="Header">
    <w:name w:val="header"/>
    <w:basedOn w:val="Normal"/>
    <w:link w:val="HeaderChar"/>
    <w:uiPriority w:val="99"/>
    <w:unhideWhenUsed/>
    <w:rsid w:val="002B618F"/>
    <w:pPr>
      <w:tabs>
        <w:tab w:val="center" w:pos="4680"/>
        <w:tab w:val="right" w:pos="9360"/>
      </w:tabs>
      <w:spacing w:line="240" w:lineRule="auto"/>
    </w:pPr>
  </w:style>
  <w:style w:type="character" w:customStyle="1" w:styleId="HeaderChar">
    <w:name w:val="Header Char"/>
    <w:basedOn w:val="DefaultParagraphFont"/>
    <w:link w:val="Header"/>
    <w:uiPriority w:val="99"/>
    <w:rsid w:val="002B618F"/>
  </w:style>
  <w:style w:type="paragraph" w:styleId="Footer">
    <w:name w:val="footer"/>
    <w:basedOn w:val="Normal"/>
    <w:link w:val="FooterChar"/>
    <w:uiPriority w:val="99"/>
    <w:unhideWhenUsed/>
    <w:rsid w:val="002B618F"/>
    <w:pPr>
      <w:tabs>
        <w:tab w:val="center" w:pos="4680"/>
        <w:tab w:val="right" w:pos="9360"/>
      </w:tabs>
      <w:spacing w:line="240" w:lineRule="auto"/>
    </w:pPr>
  </w:style>
  <w:style w:type="character" w:customStyle="1" w:styleId="FooterChar">
    <w:name w:val="Footer Char"/>
    <w:basedOn w:val="DefaultParagraphFont"/>
    <w:link w:val="Footer"/>
    <w:uiPriority w:val="99"/>
    <w:rsid w:val="002B6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8676">
      <w:bodyDiv w:val="1"/>
      <w:marLeft w:val="0"/>
      <w:marRight w:val="0"/>
      <w:marTop w:val="0"/>
      <w:marBottom w:val="0"/>
      <w:divBdr>
        <w:top w:val="none" w:sz="0" w:space="0" w:color="auto"/>
        <w:left w:val="none" w:sz="0" w:space="0" w:color="auto"/>
        <w:bottom w:val="none" w:sz="0" w:space="0" w:color="auto"/>
        <w:right w:val="none" w:sz="0" w:space="0" w:color="auto"/>
      </w:divBdr>
      <w:divsChild>
        <w:div w:id="523136504">
          <w:marLeft w:val="0"/>
          <w:marRight w:val="0"/>
          <w:marTop w:val="0"/>
          <w:marBottom w:val="0"/>
          <w:divBdr>
            <w:top w:val="none" w:sz="0" w:space="0" w:color="auto"/>
            <w:left w:val="none" w:sz="0" w:space="0" w:color="auto"/>
            <w:bottom w:val="none" w:sz="0" w:space="0" w:color="auto"/>
            <w:right w:val="none" w:sz="0" w:space="0" w:color="auto"/>
          </w:divBdr>
          <w:divsChild>
            <w:div w:id="1652177502">
              <w:marLeft w:val="0"/>
              <w:marRight w:val="0"/>
              <w:marTop w:val="0"/>
              <w:marBottom w:val="0"/>
              <w:divBdr>
                <w:top w:val="none" w:sz="0" w:space="0" w:color="auto"/>
                <w:left w:val="none" w:sz="0" w:space="0" w:color="auto"/>
                <w:bottom w:val="none" w:sz="0" w:space="0" w:color="auto"/>
                <w:right w:val="none" w:sz="0" w:space="0" w:color="auto"/>
              </w:divBdr>
            </w:div>
            <w:div w:id="973296712">
              <w:marLeft w:val="0"/>
              <w:marRight w:val="0"/>
              <w:marTop w:val="0"/>
              <w:marBottom w:val="0"/>
              <w:divBdr>
                <w:top w:val="none" w:sz="0" w:space="0" w:color="auto"/>
                <w:left w:val="none" w:sz="0" w:space="0" w:color="auto"/>
                <w:bottom w:val="none" w:sz="0" w:space="0" w:color="auto"/>
                <w:right w:val="none" w:sz="0" w:space="0" w:color="auto"/>
              </w:divBdr>
            </w:div>
            <w:div w:id="1882784829">
              <w:marLeft w:val="0"/>
              <w:marRight w:val="0"/>
              <w:marTop w:val="0"/>
              <w:marBottom w:val="0"/>
              <w:divBdr>
                <w:top w:val="none" w:sz="0" w:space="0" w:color="auto"/>
                <w:left w:val="none" w:sz="0" w:space="0" w:color="auto"/>
                <w:bottom w:val="none" w:sz="0" w:space="0" w:color="auto"/>
                <w:right w:val="none" w:sz="0" w:space="0" w:color="auto"/>
              </w:divBdr>
            </w:div>
            <w:div w:id="704136061">
              <w:marLeft w:val="0"/>
              <w:marRight w:val="0"/>
              <w:marTop w:val="0"/>
              <w:marBottom w:val="0"/>
              <w:divBdr>
                <w:top w:val="none" w:sz="0" w:space="0" w:color="auto"/>
                <w:left w:val="none" w:sz="0" w:space="0" w:color="auto"/>
                <w:bottom w:val="none" w:sz="0" w:space="0" w:color="auto"/>
                <w:right w:val="none" w:sz="0" w:space="0" w:color="auto"/>
              </w:divBdr>
            </w:div>
            <w:div w:id="716050707">
              <w:marLeft w:val="0"/>
              <w:marRight w:val="0"/>
              <w:marTop w:val="0"/>
              <w:marBottom w:val="0"/>
              <w:divBdr>
                <w:top w:val="none" w:sz="0" w:space="0" w:color="auto"/>
                <w:left w:val="none" w:sz="0" w:space="0" w:color="auto"/>
                <w:bottom w:val="none" w:sz="0" w:space="0" w:color="auto"/>
                <w:right w:val="none" w:sz="0" w:space="0" w:color="auto"/>
              </w:divBdr>
            </w:div>
            <w:div w:id="260257242">
              <w:marLeft w:val="0"/>
              <w:marRight w:val="0"/>
              <w:marTop w:val="0"/>
              <w:marBottom w:val="0"/>
              <w:divBdr>
                <w:top w:val="none" w:sz="0" w:space="0" w:color="auto"/>
                <w:left w:val="none" w:sz="0" w:space="0" w:color="auto"/>
                <w:bottom w:val="none" w:sz="0" w:space="0" w:color="auto"/>
                <w:right w:val="none" w:sz="0" w:space="0" w:color="auto"/>
              </w:divBdr>
            </w:div>
            <w:div w:id="219680511">
              <w:marLeft w:val="0"/>
              <w:marRight w:val="0"/>
              <w:marTop w:val="0"/>
              <w:marBottom w:val="0"/>
              <w:divBdr>
                <w:top w:val="none" w:sz="0" w:space="0" w:color="auto"/>
                <w:left w:val="none" w:sz="0" w:space="0" w:color="auto"/>
                <w:bottom w:val="none" w:sz="0" w:space="0" w:color="auto"/>
                <w:right w:val="none" w:sz="0" w:space="0" w:color="auto"/>
              </w:divBdr>
            </w:div>
            <w:div w:id="1262033011">
              <w:marLeft w:val="0"/>
              <w:marRight w:val="0"/>
              <w:marTop w:val="0"/>
              <w:marBottom w:val="0"/>
              <w:divBdr>
                <w:top w:val="none" w:sz="0" w:space="0" w:color="auto"/>
                <w:left w:val="none" w:sz="0" w:space="0" w:color="auto"/>
                <w:bottom w:val="none" w:sz="0" w:space="0" w:color="auto"/>
                <w:right w:val="none" w:sz="0" w:space="0" w:color="auto"/>
              </w:divBdr>
            </w:div>
            <w:div w:id="980426448">
              <w:marLeft w:val="0"/>
              <w:marRight w:val="0"/>
              <w:marTop w:val="0"/>
              <w:marBottom w:val="0"/>
              <w:divBdr>
                <w:top w:val="none" w:sz="0" w:space="0" w:color="auto"/>
                <w:left w:val="none" w:sz="0" w:space="0" w:color="auto"/>
                <w:bottom w:val="none" w:sz="0" w:space="0" w:color="auto"/>
                <w:right w:val="none" w:sz="0" w:space="0" w:color="auto"/>
              </w:divBdr>
              <w:divsChild>
                <w:div w:id="495654415">
                  <w:marLeft w:val="0"/>
                  <w:marRight w:val="0"/>
                  <w:marTop w:val="0"/>
                  <w:marBottom w:val="0"/>
                  <w:divBdr>
                    <w:top w:val="none" w:sz="0" w:space="0" w:color="auto"/>
                    <w:left w:val="none" w:sz="0" w:space="0" w:color="auto"/>
                    <w:bottom w:val="none" w:sz="0" w:space="0" w:color="auto"/>
                    <w:right w:val="none" w:sz="0" w:space="0" w:color="auto"/>
                  </w:divBdr>
                  <w:divsChild>
                    <w:div w:id="1987657956">
                      <w:marLeft w:val="0"/>
                      <w:marRight w:val="0"/>
                      <w:marTop w:val="0"/>
                      <w:marBottom w:val="0"/>
                      <w:divBdr>
                        <w:top w:val="none" w:sz="0" w:space="0" w:color="auto"/>
                        <w:left w:val="none" w:sz="0" w:space="0" w:color="auto"/>
                        <w:bottom w:val="none" w:sz="0" w:space="0" w:color="auto"/>
                        <w:right w:val="none" w:sz="0" w:space="0" w:color="auto"/>
                      </w:divBdr>
                    </w:div>
                    <w:div w:id="91777466">
                      <w:marLeft w:val="0"/>
                      <w:marRight w:val="0"/>
                      <w:marTop w:val="0"/>
                      <w:marBottom w:val="0"/>
                      <w:divBdr>
                        <w:top w:val="none" w:sz="0" w:space="0" w:color="auto"/>
                        <w:left w:val="none" w:sz="0" w:space="0" w:color="auto"/>
                        <w:bottom w:val="none" w:sz="0" w:space="0" w:color="auto"/>
                        <w:right w:val="none" w:sz="0" w:space="0" w:color="auto"/>
                      </w:divBdr>
                    </w:div>
                    <w:div w:id="1012297800">
                      <w:marLeft w:val="0"/>
                      <w:marRight w:val="0"/>
                      <w:marTop w:val="0"/>
                      <w:marBottom w:val="0"/>
                      <w:divBdr>
                        <w:top w:val="none" w:sz="0" w:space="0" w:color="auto"/>
                        <w:left w:val="none" w:sz="0" w:space="0" w:color="auto"/>
                        <w:bottom w:val="none" w:sz="0" w:space="0" w:color="auto"/>
                        <w:right w:val="none" w:sz="0" w:space="0" w:color="auto"/>
                      </w:divBdr>
                    </w:div>
                    <w:div w:id="910582872">
                      <w:marLeft w:val="0"/>
                      <w:marRight w:val="0"/>
                      <w:marTop w:val="0"/>
                      <w:marBottom w:val="0"/>
                      <w:divBdr>
                        <w:top w:val="none" w:sz="0" w:space="0" w:color="auto"/>
                        <w:left w:val="none" w:sz="0" w:space="0" w:color="auto"/>
                        <w:bottom w:val="none" w:sz="0" w:space="0" w:color="auto"/>
                        <w:right w:val="none" w:sz="0" w:space="0" w:color="auto"/>
                      </w:divBdr>
                    </w:div>
                    <w:div w:id="841776451">
                      <w:marLeft w:val="0"/>
                      <w:marRight w:val="0"/>
                      <w:marTop w:val="0"/>
                      <w:marBottom w:val="0"/>
                      <w:divBdr>
                        <w:top w:val="none" w:sz="0" w:space="0" w:color="auto"/>
                        <w:left w:val="none" w:sz="0" w:space="0" w:color="auto"/>
                        <w:bottom w:val="none" w:sz="0" w:space="0" w:color="auto"/>
                        <w:right w:val="none" w:sz="0" w:space="0" w:color="auto"/>
                      </w:divBdr>
                    </w:div>
                    <w:div w:id="3913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5475">
          <w:marLeft w:val="0"/>
          <w:marRight w:val="0"/>
          <w:marTop w:val="0"/>
          <w:marBottom w:val="0"/>
          <w:divBdr>
            <w:top w:val="none" w:sz="0" w:space="0" w:color="auto"/>
            <w:left w:val="none" w:sz="0" w:space="0" w:color="auto"/>
            <w:bottom w:val="none" w:sz="0" w:space="0" w:color="auto"/>
            <w:right w:val="none" w:sz="0" w:space="0" w:color="auto"/>
          </w:divBdr>
          <w:divsChild>
            <w:div w:id="316803282">
              <w:marLeft w:val="0"/>
              <w:marRight w:val="0"/>
              <w:marTop w:val="0"/>
              <w:marBottom w:val="0"/>
              <w:divBdr>
                <w:top w:val="none" w:sz="0" w:space="0" w:color="auto"/>
                <w:left w:val="none" w:sz="0" w:space="0" w:color="auto"/>
                <w:bottom w:val="none" w:sz="0" w:space="0" w:color="auto"/>
                <w:right w:val="none" w:sz="0" w:space="0" w:color="auto"/>
              </w:divBdr>
              <w:divsChild>
                <w:div w:id="2056810903">
                  <w:marLeft w:val="0"/>
                  <w:marRight w:val="0"/>
                  <w:marTop w:val="0"/>
                  <w:marBottom w:val="0"/>
                  <w:divBdr>
                    <w:top w:val="none" w:sz="0" w:space="0" w:color="auto"/>
                    <w:left w:val="none" w:sz="0" w:space="0" w:color="auto"/>
                    <w:bottom w:val="none" w:sz="0" w:space="0" w:color="auto"/>
                    <w:right w:val="none" w:sz="0" w:space="0" w:color="auto"/>
                  </w:divBdr>
                </w:div>
                <w:div w:id="1580747514">
                  <w:marLeft w:val="0"/>
                  <w:marRight w:val="0"/>
                  <w:marTop w:val="0"/>
                  <w:marBottom w:val="0"/>
                  <w:divBdr>
                    <w:top w:val="none" w:sz="0" w:space="0" w:color="auto"/>
                    <w:left w:val="none" w:sz="0" w:space="0" w:color="auto"/>
                    <w:bottom w:val="none" w:sz="0" w:space="0" w:color="auto"/>
                    <w:right w:val="none" w:sz="0" w:space="0" w:color="auto"/>
                  </w:divBdr>
                </w:div>
                <w:div w:id="48724012">
                  <w:marLeft w:val="0"/>
                  <w:marRight w:val="0"/>
                  <w:marTop w:val="0"/>
                  <w:marBottom w:val="0"/>
                  <w:divBdr>
                    <w:top w:val="none" w:sz="0" w:space="0" w:color="auto"/>
                    <w:left w:val="none" w:sz="0" w:space="0" w:color="auto"/>
                    <w:bottom w:val="none" w:sz="0" w:space="0" w:color="auto"/>
                    <w:right w:val="none" w:sz="0" w:space="0" w:color="auto"/>
                  </w:divBdr>
                </w:div>
                <w:div w:id="1499350812">
                  <w:marLeft w:val="0"/>
                  <w:marRight w:val="0"/>
                  <w:marTop w:val="0"/>
                  <w:marBottom w:val="0"/>
                  <w:divBdr>
                    <w:top w:val="none" w:sz="0" w:space="0" w:color="auto"/>
                    <w:left w:val="none" w:sz="0" w:space="0" w:color="auto"/>
                    <w:bottom w:val="none" w:sz="0" w:space="0" w:color="auto"/>
                    <w:right w:val="none" w:sz="0" w:space="0" w:color="auto"/>
                  </w:divBdr>
                </w:div>
                <w:div w:id="715815439">
                  <w:marLeft w:val="0"/>
                  <w:marRight w:val="0"/>
                  <w:marTop w:val="0"/>
                  <w:marBottom w:val="0"/>
                  <w:divBdr>
                    <w:top w:val="none" w:sz="0" w:space="0" w:color="auto"/>
                    <w:left w:val="none" w:sz="0" w:space="0" w:color="auto"/>
                    <w:bottom w:val="none" w:sz="0" w:space="0" w:color="auto"/>
                    <w:right w:val="none" w:sz="0" w:space="0" w:color="auto"/>
                  </w:divBdr>
                </w:div>
                <w:div w:id="893346682">
                  <w:marLeft w:val="0"/>
                  <w:marRight w:val="0"/>
                  <w:marTop w:val="0"/>
                  <w:marBottom w:val="0"/>
                  <w:divBdr>
                    <w:top w:val="none" w:sz="0" w:space="0" w:color="auto"/>
                    <w:left w:val="none" w:sz="0" w:space="0" w:color="auto"/>
                    <w:bottom w:val="none" w:sz="0" w:space="0" w:color="auto"/>
                    <w:right w:val="none" w:sz="0" w:space="0" w:color="auto"/>
                  </w:divBdr>
                </w:div>
                <w:div w:id="1818763014">
                  <w:marLeft w:val="0"/>
                  <w:marRight w:val="0"/>
                  <w:marTop w:val="0"/>
                  <w:marBottom w:val="0"/>
                  <w:divBdr>
                    <w:top w:val="none" w:sz="0" w:space="0" w:color="auto"/>
                    <w:left w:val="none" w:sz="0" w:space="0" w:color="auto"/>
                    <w:bottom w:val="none" w:sz="0" w:space="0" w:color="auto"/>
                    <w:right w:val="none" w:sz="0" w:space="0" w:color="auto"/>
                  </w:divBdr>
                </w:div>
                <w:div w:id="8610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1mh7oDJ" TargetMode="External"/><Relationship Id="rId12" Type="http://schemas.openxmlformats.org/officeDocument/2006/relationships/hyperlink" Target="https://twitter.com/KenyonI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KenyonI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arfane@kenyon.edu" TargetMode="External"/><Relationship Id="rId4" Type="http://schemas.openxmlformats.org/officeDocument/2006/relationships/webSettings" Target="webSettings.xml"/><Relationship Id="rId9" Type="http://schemas.openxmlformats.org/officeDocument/2006/relationships/hyperlink" Target="tel:740.427.557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istula.kenyon.edu\ir\FSSE\2014\Analysis%20and%20Charts\NSSE_FSSE_sha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lgn="l">
              <a:defRPr sz="1200"/>
            </a:pPr>
            <a:r>
              <a:rPr lang="en-US" sz="1200">
                <a:solidFill>
                  <a:schemeClr val="tx1">
                    <a:lumMod val="65000"/>
                    <a:lumOff val="35000"/>
                  </a:schemeClr>
                </a:solidFill>
              </a:rPr>
              <a:t>Percent of students</a:t>
            </a:r>
            <a:r>
              <a:rPr lang="en-US" sz="1200" baseline="0">
                <a:solidFill>
                  <a:schemeClr val="tx1">
                    <a:lumMod val="65000"/>
                    <a:lumOff val="35000"/>
                  </a:schemeClr>
                </a:solidFill>
              </a:rPr>
              <a:t> who reported spending 16 or more hours a week on a given activity and percent of faculty who estimated students spent 16 or more hours on the same activity</a:t>
            </a:r>
            <a:endParaRPr lang="en-US" sz="1200">
              <a:solidFill>
                <a:schemeClr val="tx1">
                  <a:lumMod val="65000"/>
                  <a:lumOff val="35000"/>
                </a:schemeClr>
              </a:solidFill>
            </a:endParaRPr>
          </a:p>
        </c:rich>
      </c:tx>
      <c:layout>
        <c:manualLayout>
          <c:xMode val="edge"/>
          <c:yMode val="edge"/>
          <c:x val="2.2451039773874418E-3"/>
          <c:y val="2.5300891442623726E-3"/>
        </c:manualLayout>
      </c:layout>
      <c:overlay val="0"/>
    </c:title>
    <c:autoTitleDeleted val="0"/>
    <c:plotArea>
      <c:layout>
        <c:manualLayout>
          <c:layoutTarget val="inner"/>
          <c:xMode val="edge"/>
          <c:yMode val="edge"/>
          <c:x val="0.14284776902887139"/>
          <c:y val="0.17067605497308552"/>
          <c:w val="0.85080506763577635"/>
          <c:h val="0.41716200927693126"/>
        </c:manualLayout>
      </c:layout>
      <c:barChart>
        <c:barDir val="col"/>
        <c:grouping val="clustered"/>
        <c:varyColors val="0"/>
        <c:ser>
          <c:idx val="0"/>
          <c:order val="0"/>
          <c:tx>
            <c:strRef>
              <c:f>Sheet1!$I$20</c:f>
              <c:strCache>
                <c:ptCount val="1"/>
                <c:pt idx="0">
                  <c:v>First-Years</c:v>
                </c:pt>
              </c:strCache>
            </c:strRef>
          </c:tx>
          <c:invertIfNegative val="0"/>
          <c:dLbls>
            <c:dLbl>
              <c:idx val="0"/>
              <c:layout/>
              <c:showLegendKey val="0"/>
              <c:showVal val="1"/>
              <c:showCatName val="0"/>
              <c:showSerName val="0"/>
              <c:showPercent val="0"/>
              <c:showBubbleSize val="0"/>
            </c:dLbl>
            <c:dLbl>
              <c:idx val="1"/>
              <c:layout>
                <c:manualLayout>
                  <c:x val="-6.410256410256371E-3"/>
                  <c:y val="7.1073205401563609E-3"/>
                </c:manualLayout>
              </c:layout>
              <c:showLegendKey val="0"/>
              <c:showVal val="1"/>
              <c:showCatName val="0"/>
              <c:showSerName val="0"/>
              <c:showPercent val="0"/>
              <c:showBubbleSize val="0"/>
            </c:dLbl>
            <c:dLbl>
              <c:idx val="2"/>
              <c:layout>
                <c:manualLayout>
                  <c:x val="-4.2735042735042739E-3"/>
                  <c:y val="3.5536602700781805E-3"/>
                </c:manualLayout>
              </c:layout>
              <c:showLegendKey val="0"/>
              <c:showVal val="1"/>
              <c:showCatName val="0"/>
              <c:showSerName val="0"/>
              <c:showPercent val="0"/>
              <c:showBubbleSize val="0"/>
            </c:dLbl>
            <c:dLbl>
              <c:idx val="4"/>
              <c:layout/>
              <c:showLegendKey val="0"/>
              <c:showVal val="1"/>
              <c:showCatName val="0"/>
              <c:showSerName val="0"/>
              <c:showPercent val="0"/>
              <c:showBubbleSize val="0"/>
            </c:dLbl>
            <c:dLbl>
              <c:idx val="5"/>
              <c:layout/>
              <c:showLegendKey val="0"/>
              <c:showVal val="1"/>
              <c:showCatName val="0"/>
              <c:showSerName val="0"/>
              <c:showPercent val="0"/>
              <c:showBubbleSize val="0"/>
            </c:dLbl>
            <c:dLbl>
              <c:idx val="6"/>
              <c:layout/>
              <c:showLegendKey val="0"/>
              <c:showVal val="1"/>
              <c:showCatName val="0"/>
              <c:showSerName val="0"/>
              <c:showPercent val="0"/>
              <c:showBubbleSize val="0"/>
            </c:dLbl>
            <c:txPr>
              <a:bodyPr/>
              <a:lstStyle/>
              <a:p>
                <a:pPr>
                  <a:defRPr sz="900">
                    <a:latin typeface="Arial" panose="020B0604020202020204" pitchFamily="34" charset="0"/>
                    <a:cs typeface="Arial" panose="020B0604020202020204" pitchFamily="34" charset="0"/>
                  </a:defRPr>
                </a:pPr>
                <a:endParaRPr lang="en-US"/>
              </a:p>
            </c:txPr>
            <c:showLegendKey val="0"/>
            <c:showVal val="0"/>
            <c:showCatName val="0"/>
            <c:showSerName val="0"/>
            <c:showPercent val="0"/>
            <c:showBubbleSize val="0"/>
          </c:dLbls>
          <c:cat>
            <c:strRef>
              <c:f>Sheet1!$B$21:$B$28</c:f>
              <c:strCache>
                <c:ptCount val="8"/>
                <c:pt idx="0">
                  <c:v>Preparing for class*</c:v>
                </c:pt>
                <c:pt idx="1">
                  <c:v>Relaxing &amp; socializing</c:v>
                </c:pt>
                <c:pt idx="2">
                  <c:v>Co-curriculars</c:v>
                </c:pt>
                <c:pt idx="3">
                  <c:v>Working on campus</c:v>
                </c:pt>
                <c:pt idx="4">
                  <c:v>Working off campus</c:v>
                </c:pt>
                <c:pt idx="5">
                  <c:v>Commuting to campus</c:v>
                </c:pt>
                <c:pt idx="6">
                  <c:v>Providing care for dependents</c:v>
                </c:pt>
                <c:pt idx="7">
                  <c:v>Volunteering</c:v>
                </c:pt>
              </c:strCache>
            </c:strRef>
          </c:cat>
          <c:val>
            <c:numRef>
              <c:f>Sheet1!$I$21:$I$28</c:f>
              <c:numCache>
                <c:formatCode>0</c:formatCode>
                <c:ptCount val="8"/>
                <c:pt idx="0" formatCode="General">
                  <c:v>64</c:v>
                </c:pt>
                <c:pt idx="1">
                  <c:v>40.602102321652026</c:v>
                </c:pt>
                <c:pt idx="2">
                  <c:v>20.740087250006098</c:v>
                </c:pt>
                <c:pt idx="3">
                  <c:v>1.4904963763161514</c:v>
                </c:pt>
                <c:pt idx="4">
                  <c:v>0.87816564551245335</c:v>
                </c:pt>
                <c:pt idx="5">
                  <c:v>0.61241088943112854</c:v>
                </c:pt>
                <c:pt idx="6">
                  <c:v>0.61618447022577483</c:v>
                </c:pt>
                <c:pt idx="7">
                  <c:v>0</c:v>
                </c:pt>
              </c:numCache>
            </c:numRef>
          </c:val>
        </c:ser>
        <c:ser>
          <c:idx val="1"/>
          <c:order val="1"/>
          <c:tx>
            <c:strRef>
              <c:f>Sheet1!$J$20</c:f>
              <c:strCache>
                <c:ptCount val="1"/>
                <c:pt idx="0">
                  <c:v>Seniors</c:v>
                </c:pt>
              </c:strCache>
            </c:strRef>
          </c:tx>
          <c:invertIfNegative val="0"/>
          <c:dLbls>
            <c:dLbl>
              <c:idx val="1"/>
              <c:layout>
                <c:manualLayout>
                  <c:x val="-1.6824819978343607E-7"/>
                  <c:y val="1.0660980810234541E-2"/>
                </c:manualLayout>
              </c:layout>
              <c:showLegendKey val="0"/>
              <c:showVal val="1"/>
              <c:showCatName val="0"/>
              <c:showSerName val="0"/>
              <c:showPercent val="0"/>
              <c:showBubbleSize val="0"/>
            </c:dLbl>
            <c:dLbl>
              <c:idx val="4"/>
              <c:delete val="1"/>
            </c:dLbl>
            <c:dLbl>
              <c:idx val="5"/>
              <c:delete val="1"/>
            </c:dLbl>
            <c:dLbl>
              <c:idx val="6"/>
              <c:delete val="1"/>
            </c:dLbl>
            <c:dLbl>
              <c:idx val="7"/>
              <c:delete val="1"/>
            </c:dLbl>
            <c:txPr>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Sheet1!$B$21:$B$28</c:f>
              <c:strCache>
                <c:ptCount val="8"/>
                <c:pt idx="0">
                  <c:v>Preparing for class*</c:v>
                </c:pt>
                <c:pt idx="1">
                  <c:v>Relaxing &amp; socializing</c:v>
                </c:pt>
                <c:pt idx="2">
                  <c:v>Co-curriculars</c:v>
                </c:pt>
                <c:pt idx="3">
                  <c:v>Working on campus</c:v>
                </c:pt>
                <c:pt idx="4">
                  <c:v>Working off campus</c:v>
                </c:pt>
                <c:pt idx="5">
                  <c:v>Commuting to campus</c:v>
                </c:pt>
                <c:pt idx="6">
                  <c:v>Providing care for dependents</c:v>
                </c:pt>
                <c:pt idx="7">
                  <c:v>Volunteering</c:v>
                </c:pt>
              </c:strCache>
            </c:strRef>
          </c:cat>
          <c:val>
            <c:numRef>
              <c:f>Sheet1!$J$21:$J$28</c:f>
              <c:numCache>
                <c:formatCode>0</c:formatCode>
                <c:ptCount val="8"/>
                <c:pt idx="0" formatCode="General">
                  <c:v>76</c:v>
                </c:pt>
                <c:pt idx="1">
                  <c:v>38.245235879096569</c:v>
                </c:pt>
                <c:pt idx="2">
                  <c:v>27.362454803087992</c:v>
                </c:pt>
                <c:pt idx="3">
                  <c:v>2.0887728459529984</c:v>
                </c:pt>
                <c:pt idx="4">
                  <c:v>0</c:v>
                </c:pt>
                <c:pt idx="5">
                  <c:v>0.53050397877983979</c:v>
                </c:pt>
                <c:pt idx="6">
                  <c:v>0</c:v>
                </c:pt>
                <c:pt idx="7">
                  <c:v>0</c:v>
                </c:pt>
              </c:numCache>
            </c:numRef>
          </c:val>
        </c:ser>
        <c:ser>
          <c:idx val="2"/>
          <c:order val="2"/>
          <c:tx>
            <c:strRef>
              <c:f>Sheet1!$K$20</c:f>
              <c:strCache>
                <c:ptCount val="1"/>
                <c:pt idx="0">
                  <c:v>Faculty</c:v>
                </c:pt>
              </c:strCache>
            </c:strRef>
          </c:tx>
          <c:invertIfNegative val="0"/>
          <c:dLbls>
            <c:dLbl>
              <c:idx val="0"/>
              <c:layout>
                <c:manualLayout>
                  <c:x val="2.136752136752137E-3"/>
                  <c:y val="0"/>
                </c:manualLayout>
              </c:layout>
              <c:showLegendKey val="0"/>
              <c:showVal val="1"/>
              <c:showCatName val="0"/>
              <c:showSerName val="0"/>
              <c:showPercent val="0"/>
              <c:showBubbleSize val="0"/>
            </c:dLbl>
            <c:dLbl>
              <c:idx val="1"/>
              <c:layout>
                <c:manualLayout>
                  <c:x val="8.5470085470085479E-3"/>
                  <c:y val="0"/>
                </c:manualLayout>
              </c:layout>
              <c:showLegendKey val="0"/>
              <c:showVal val="1"/>
              <c:showCatName val="0"/>
              <c:showSerName val="0"/>
              <c:showPercent val="0"/>
              <c:showBubbleSize val="0"/>
            </c:dLbl>
            <c:dLbl>
              <c:idx val="2"/>
              <c:layout/>
              <c:showLegendKey val="0"/>
              <c:showVal val="1"/>
              <c:showCatName val="0"/>
              <c:showSerName val="0"/>
              <c:showPercent val="0"/>
              <c:showBubbleSize val="0"/>
            </c:dLbl>
            <c:txPr>
              <a:bodyPr/>
              <a:lstStyle/>
              <a:p>
                <a:pPr>
                  <a:defRPr sz="900">
                    <a:latin typeface="Arial" panose="020B0604020202020204" pitchFamily="34" charset="0"/>
                    <a:cs typeface="Arial" panose="020B0604020202020204" pitchFamily="34" charset="0"/>
                  </a:defRPr>
                </a:pPr>
                <a:endParaRPr lang="en-US"/>
              </a:p>
            </c:txPr>
            <c:showLegendKey val="0"/>
            <c:showVal val="0"/>
            <c:showCatName val="0"/>
            <c:showSerName val="0"/>
            <c:showPercent val="0"/>
            <c:showBubbleSize val="0"/>
          </c:dLbls>
          <c:cat>
            <c:strRef>
              <c:f>Sheet1!$B$21:$B$28</c:f>
              <c:strCache>
                <c:ptCount val="8"/>
                <c:pt idx="0">
                  <c:v>Preparing for class*</c:v>
                </c:pt>
                <c:pt idx="1">
                  <c:v>Relaxing &amp; socializing</c:v>
                </c:pt>
                <c:pt idx="2">
                  <c:v>Co-curriculars</c:v>
                </c:pt>
                <c:pt idx="3">
                  <c:v>Working on campus</c:v>
                </c:pt>
                <c:pt idx="4">
                  <c:v>Working off campus</c:v>
                </c:pt>
                <c:pt idx="5">
                  <c:v>Commuting to campus</c:v>
                </c:pt>
                <c:pt idx="6">
                  <c:v>Providing care for dependents</c:v>
                </c:pt>
                <c:pt idx="7">
                  <c:v>Volunteering</c:v>
                </c:pt>
              </c:strCache>
            </c:strRef>
          </c:cat>
          <c:val>
            <c:numRef>
              <c:f>Sheet1!$K$21:$K$28</c:f>
              <c:numCache>
                <c:formatCode>General</c:formatCode>
                <c:ptCount val="8"/>
                <c:pt idx="0">
                  <c:v>59</c:v>
                </c:pt>
                <c:pt idx="1">
                  <c:v>42</c:v>
                </c:pt>
                <c:pt idx="2" formatCode="0">
                  <c:v>11</c:v>
                </c:pt>
                <c:pt idx="3" formatCode="0">
                  <c:v>1.1000000000000001</c:v>
                </c:pt>
                <c:pt idx="4" formatCode="0">
                  <c:v>1.1000000000000001</c:v>
                </c:pt>
                <c:pt idx="5">
                  <c:v>0</c:v>
                </c:pt>
                <c:pt idx="6">
                  <c:v>0</c:v>
                </c:pt>
                <c:pt idx="7">
                  <c:v>0</c:v>
                </c:pt>
              </c:numCache>
            </c:numRef>
          </c:val>
        </c:ser>
        <c:dLbls>
          <c:showLegendKey val="0"/>
          <c:showVal val="0"/>
          <c:showCatName val="0"/>
          <c:showSerName val="0"/>
          <c:showPercent val="0"/>
          <c:showBubbleSize val="0"/>
        </c:dLbls>
        <c:gapWidth val="150"/>
        <c:axId val="117630848"/>
        <c:axId val="115843072"/>
      </c:barChart>
      <c:catAx>
        <c:axId val="117630848"/>
        <c:scaling>
          <c:orientation val="minMax"/>
        </c:scaling>
        <c:delete val="0"/>
        <c:axPos val="b"/>
        <c:majorTickMark val="out"/>
        <c:minorTickMark val="none"/>
        <c:tickLblPos val="nextTo"/>
        <c:txPr>
          <a:bodyPr rot="-5400000" vert="horz"/>
          <a:lstStyle/>
          <a:p>
            <a:pPr>
              <a:defRPr sz="1000"/>
            </a:pPr>
            <a:endParaRPr lang="en-US"/>
          </a:p>
        </c:txPr>
        <c:crossAx val="115843072"/>
        <c:crosses val="autoZero"/>
        <c:auto val="1"/>
        <c:lblAlgn val="ctr"/>
        <c:lblOffset val="100"/>
        <c:noMultiLvlLbl val="0"/>
      </c:catAx>
      <c:valAx>
        <c:axId val="115843072"/>
        <c:scaling>
          <c:orientation val="minMax"/>
          <c:max val="100"/>
        </c:scaling>
        <c:delete val="0"/>
        <c:axPos val="l"/>
        <c:majorGridlines>
          <c:spPr>
            <a:ln>
              <a:noFill/>
            </a:ln>
          </c:spPr>
        </c:majorGridlines>
        <c:title>
          <c:tx>
            <c:rich>
              <a:bodyPr rot="-5400000" vert="horz"/>
              <a:lstStyle/>
              <a:p>
                <a:pPr>
                  <a:defRPr>
                    <a:solidFill>
                      <a:schemeClr val="bg1">
                        <a:lumMod val="65000"/>
                      </a:schemeClr>
                    </a:solidFill>
                  </a:defRPr>
                </a:pPr>
                <a:r>
                  <a:rPr lang="en-US">
                    <a:solidFill>
                      <a:schemeClr val="bg1">
                        <a:lumMod val="65000"/>
                      </a:schemeClr>
                    </a:solidFill>
                  </a:rPr>
                  <a:t>Percent</a:t>
                </a:r>
              </a:p>
            </c:rich>
          </c:tx>
          <c:layout/>
          <c:overlay val="0"/>
        </c:title>
        <c:numFmt formatCode="General" sourceLinked="1"/>
        <c:majorTickMark val="out"/>
        <c:minorTickMark val="none"/>
        <c:tickLblPos val="nextTo"/>
        <c:txPr>
          <a:bodyPr/>
          <a:lstStyle/>
          <a:p>
            <a:pPr>
              <a:defRPr>
                <a:solidFill>
                  <a:schemeClr val="tx1">
                    <a:lumMod val="50000"/>
                    <a:lumOff val="50000"/>
                  </a:schemeClr>
                </a:solidFill>
              </a:defRPr>
            </a:pPr>
            <a:endParaRPr lang="en-US"/>
          </a:p>
        </c:txPr>
        <c:crossAx val="117630848"/>
        <c:crosses val="autoZero"/>
        <c:crossBetween val="between"/>
        <c:majorUnit val="20"/>
      </c:valAx>
    </c:plotArea>
    <c:legend>
      <c:legendPos val="r"/>
      <c:layout>
        <c:manualLayout>
          <c:xMode val="edge"/>
          <c:yMode val="edge"/>
          <c:x val="2.564102564102564E-2"/>
          <c:y val="0.62503402128038621"/>
          <c:w val="0.14046958072548626"/>
          <c:h val="0.24492770329384503"/>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0.8783</cdr:y>
    </cdr:from>
    <cdr:to>
      <cdr:x>0.83814</cdr:x>
      <cdr:y>0.99541</cdr:y>
    </cdr:to>
    <cdr:sp macro="" textlink="">
      <cdr:nvSpPr>
        <cdr:cNvPr id="2" name="TextBox 1"/>
        <cdr:cNvSpPr txBox="1"/>
      </cdr:nvSpPr>
      <cdr:spPr>
        <a:xfrm xmlns:a="http://schemas.openxmlformats.org/drawingml/2006/main">
          <a:off x="0" y="3643315"/>
          <a:ext cx="4981577" cy="485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solidFill>
                <a:schemeClr val="tx1">
                  <a:lumMod val="65000"/>
                  <a:lumOff val="35000"/>
                </a:schemeClr>
              </a:solidFill>
              <a:effectLst/>
              <a:latin typeface="Arial" panose="020B0604020202020204" pitchFamily="34" charset="0"/>
              <a:ea typeface="+mn-ea"/>
              <a:cs typeface="Arial" panose="020B0604020202020204" pitchFamily="34" charset="0"/>
            </a:rPr>
            <a:t>Data: NSSE,</a:t>
          </a:r>
          <a:r>
            <a:rPr lang="en-US" sz="900" baseline="0">
              <a:solidFill>
                <a:schemeClr val="tx1">
                  <a:lumMod val="65000"/>
                  <a:lumOff val="35000"/>
                </a:schemeClr>
              </a:solidFill>
              <a:effectLst/>
              <a:latin typeface="Arial" panose="020B0604020202020204" pitchFamily="34" charset="0"/>
              <a:ea typeface="+mn-ea"/>
              <a:cs typeface="Arial" panose="020B0604020202020204" pitchFamily="34" charset="0"/>
            </a:rPr>
            <a:t> spring 2014, n=301-305. FSSE, spring 2014, n=91-94</a:t>
          </a:r>
        </a:p>
        <a:p xmlns:a="http://schemas.openxmlformats.org/drawingml/2006/main">
          <a:r>
            <a:rPr lang="en-US" sz="900">
              <a:solidFill>
                <a:schemeClr val="tx1">
                  <a:lumMod val="65000"/>
                  <a:lumOff val="35000"/>
                </a:schemeClr>
              </a:solidFill>
              <a:latin typeface="Arial Narrow" panose="020B0606020202030204" pitchFamily="34" charset="0"/>
            </a:rPr>
            <a:t>*Percent</a:t>
          </a:r>
          <a:r>
            <a:rPr lang="en-US" sz="900" baseline="0">
              <a:solidFill>
                <a:schemeClr val="tx1">
                  <a:lumMod val="65000"/>
                  <a:lumOff val="35000"/>
                </a:schemeClr>
              </a:solidFill>
              <a:latin typeface="Arial Narrow" panose="020B0606020202030204" pitchFamily="34" charset="0"/>
            </a:rPr>
            <a:t> of faculty who responded that the typical student actually spends 4 or more hours a week preparing for their course section (4 courses *  4 hrs per course= 16 hours weekly). </a:t>
          </a:r>
          <a:endParaRPr lang="en-US" sz="900">
            <a:solidFill>
              <a:schemeClr val="tx1">
                <a:lumMod val="65000"/>
                <a:lumOff val="35000"/>
              </a:schemeClr>
            </a:solidFill>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2141</Characters>
  <Application>Microsoft Office Word</Application>
  <DocSecurity>0</DocSecurity>
  <Lines>17</Lines>
  <Paragraphs>5</Paragraphs>
  <ScaleCrop>false</ScaleCrop>
  <Company>Kenyon College</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Farfan</dc:creator>
  <cp:lastModifiedBy>Erika Farfan</cp:lastModifiedBy>
  <cp:revision>1</cp:revision>
  <dcterms:created xsi:type="dcterms:W3CDTF">2014-09-16T13:07:00Z</dcterms:created>
  <dcterms:modified xsi:type="dcterms:W3CDTF">2014-09-16T13:09:00Z</dcterms:modified>
</cp:coreProperties>
</file>